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34" w:rsidRPr="004E39E1" w:rsidRDefault="00F70C34">
      <w:pPr>
        <w:pStyle w:val="Textoindependiente"/>
        <w:spacing w:before="100" w:beforeAutospacing="1" w:after="100" w:afterAutospacing="1"/>
        <w:rPr>
          <w:rFonts w:ascii="Arial" w:hAnsi="Arial" w:cs="Arial"/>
          <w:b/>
          <w:sz w:val="18"/>
        </w:rPr>
      </w:pPr>
      <w:r w:rsidRPr="004E39E1">
        <w:rPr>
          <w:rFonts w:ascii="Arial" w:hAnsi="Arial" w:cs="Arial"/>
          <w:b/>
          <w:sz w:val="18"/>
        </w:rPr>
        <w:t xml:space="preserve"> LINEAMIENTOS PARA LA DESINCORPORACIÓN DE TODA CLASE DE BIENES DEL TRIBUNAL ELECTORAL DEL PODER JUDICAL DE LA FEDERACIÓN. </w:t>
      </w:r>
      <w:r w:rsidRPr="004E39E1">
        <w:rPr>
          <w:rFonts w:ascii="Arial" w:hAnsi="Arial" w:cs="Arial"/>
          <w:sz w:val="16"/>
          <w:szCs w:val="16"/>
        </w:rPr>
        <w:t>[Modificado mediante Acuerdo</w:t>
      </w:r>
      <w:r w:rsidR="001E7BB0" w:rsidRPr="004E39E1">
        <w:rPr>
          <w:rFonts w:ascii="Arial" w:hAnsi="Arial" w:cs="Arial"/>
          <w:sz w:val="16"/>
          <w:szCs w:val="16"/>
        </w:rPr>
        <w:t xml:space="preserve"> </w:t>
      </w:r>
      <w:r w:rsidR="00CA5560" w:rsidRPr="004E39E1">
        <w:rPr>
          <w:rFonts w:ascii="Arial" w:hAnsi="Arial" w:cs="Arial"/>
          <w:sz w:val="16"/>
          <w:szCs w:val="16"/>
        </w:rPr>
        <w:t>148/S4(17-IV-2012)]</w:t>
      </w:r>
    </w:p>
    <w:p w:rsidR="00F70C34" w:rsidRPr="004E39E1" w:rsidRDefault="00F70C34">
      <w:pPr>
        <w:pStyle w:val="Textoindependiente"/>
        <w:spacing w:before="100" w:beforeAutospacing="1" w:after="100" w:afterAutospacing="1"/>
        <w:rPr>
          <w:rFonts w:ascii="Arial" w:hAnsi="Arial" w:cs="Arial"/>
          <w:sz w:val="18"/>
        </w:rPr>
      </w:pPr>
    </w:p>
    <w:p w:rsidR="0006407B" w:rsidRPr="004E39E1" w:rsidRDefault="0006407B">
      <w:pPr>
        <w:pStyle w:val="Ttulo4"/>
        <w:spacing w:before="100" w:beforeAutospacing="1" w:after="100" w:afterAutospacing="1" w:line="240" w:lineRule="auto"/>
        <w:rPr>
          <w:sz w:val="18"/>
        </w:rPr>
      </w:pPr>
      <w:r w:rsidRPr="004E39E1">
        <w:rPr>
          <w:sz w:val="18"/>
        </w:rPr>
        <w:t>C O N S I D E R A N D O</w:t>
      </w:r>
    </w:p>
    <w:p w:rsidR="0006407B" w:rsidRPr="004E39E1" w:rsidRDefault="0006407B">
      <w:pPr>
        <w:shd w:val="clear" w:color="auto" w:fill="FFFFFF"/>
        <w:spacing w:before="100" w:beforeAutospacing="1" w:after="100" w:afterAutospacing="1"/>
        <w:ind w:firstLine="708"/>
        <w:jc w:val="both"/>
        <w:rPr>
          <w:rFonts w:ascii="Arial" w:hAnsi="Arial" w:cs="Arial"/>
          <w:sz w:val="18"/>
          <w:lang w:val="es-ES_tradnl"/>
        </w:rPr>
      </w:pPr>
      <w:r w:rsidRPr="004E39E1">
        <w:rPr>
          <w:rFonts w:ascii="Arial" w:hAnsi="Arial" w:cs="Arial"/>
          <w:b/>
          <w:sz w:val="18"/>
          <w:lang w:val="es-ES_tradnl"/>
        </w:rPr>
        <w:t xml:space="preserve">PRIMERO.- </w:t>
      </w:r>
      <w:r w:rsidRPr="004E39E1">
        <w:rPr>
          <w:rFonts w:ascii="Arial" w:hAnsi="Arial" w:cs="Arial"/>
          <w:sz w:val="18"/>
          <w:lang w:val="es-ES_tradnl"/>
        </w:rPr>
        <w:t>Que en términos de lo dispuesto por el artículo 99, párrafo séptimo de la Constitución Política de los Estados Unidos Mexicanos, en relación con el artículo 205 de la Ley Orgánica del Poder Judicial de la Federación, la administración, vigilancia, disciplina y carrera judicial del Tribunal Electoral estarán a cargo de la Comisión de Administración.</w:t>
      </w:r>
    </w:p>
    <w:p w:rsidR="0006407B" w:rsidRPr="004E39E1" w:rsidRDefault="0006407B">
      <w:pPr>
        <w:pStyle w:val="Textoindependiente3"/>
        <w:spacing w:before="100" w:beforeAutospacing="1" w:after="100" w:afterAutospacing="1"/>
        <w:ind w:firstLine="708"/>
        <w:rPr>
          <w:rFonts w:cs="Arial"/>
          <w:sz w:val="18"/>
        </w:rPr>
      </w:pPr>
      <w:r w:rsidRPr="004E39E1">
        <w:rPr>
          <w:rFonts w:cs="Arial"/>
          <w:b/>
          <w:sz w:val="18"/>
        </w:rPr>
        <w:t>SEGUNDO.-</w:t>
      </w:r>
      <w:r w:rsidRPr="004E39E1">
        <w:rPr>
          <w:rFonts w:cs="Arial"/>
          <w:sz w:val="18"/>
        </w:rPr>
        <w:t xml:space="preserve"> En ejercicio de las facultades de</w:t>
      </w:r>
      <w:r w:rsidRPr="004E39E1">
        <w:rPr>
          <w:rFonts w:cs="Arial"/>
          <w:sz w:val="18"/>
          <w:lang w:val="es-ES_tradnl"/>
        </w:rPr>
        <w:t xml:space="preserve"> la fracción </w:t>
      </w:r>
      <w:r w:rsidRPr="004E39E1">
        <w:rPr>
          <w:rFonts w:cs="Arial"/>
          <w:sz w:val="18"/>
        </w:rPr>
        <w:t xml:space="preserve">XXVI del artículo 209 </w:t>
      </w:r>
      <w:r w:rsidRPr="004E39E1">
        <w:rPr>
          <w:rFonts w:cs="Arial"/>
          <w:sz w:val="18"/>
          <w:lang w:val="es-ES_tradnl"/>
        </w:rPr>
        <w:t xml:space="preserve">de la Ley Orgánica del Poder Judicial de la Federación, la Comisión de Administración emitió el Acuerdo número 194-18 del 18 de marzo de 1998 que fija </w:t>
      </w:r>
      <w:r w:rsidRPr="004E39E1">
        <w:rPr>
          <w:rFonts w:cs="Arial"/>
          <w:sz w:val="18"/>
        </w:rPr>
        <w:t xml:space="preserve">las Normas y Procedimientos Generales para la Baja y Destino Final de Bienes Muebles, que fue reformado y adicionado con los Acuerdos número 053/31 del 10 de mayo de 1999, y el 036/S61 del 15 de julio de 2002, asimismo emitió el Acuerdo 51/S67 del 7 de mayo de 2003 que aprueba los Manuales de los Procedimientos Baja de Bienes Muebles por Estado Físico o Cualidades Técnicas y Baja de Bienes Muebles por Extravío, Robo o Siniestro, así como los Manuales de los Procedimientos denominados Donación de Bienes Muebles con Autorización de Baja, Enajenación de Bienes Muebles con Autorización de Baja y Destrucción de Bienes Muebles con Autorización de Baja y el Acuerdo 197/S77 del 8 de diciembre de 2003 que aprueba los Lineamientos para la Asignación, Uso, Control, Baja y Destino Final de Vehículos del Tribunal Electoral del Poder Judicial de la Federación. </w:t>
      </w:r>
    </w:p>
    <w:p w:rsidR="0006407B" w:rsidRPr="004E39E1" w:rsidRDefault="0006407B">
      <w:pPr>
        <w:spacing w:before="100" w:beforeAutospacing="1" w:after="100" w:afterAutospacing="1"/>
        <w:ind w:firstLine="708"/>
        <w:jc w:val="both"/>
        <w:rPr>
          <w:rFonts w:ascii="Arial" w:hAnsi="Arial" w:cs="Arial"/>
          <w:sz w:val="18"/>
        </w:rPr>
      </w:pPr>
      <w:r w:rsidRPr="004E39E1">
        <w:rPr>
          <w:rFonts w:ascii="Arial" w:hAnsi="Arial" w:cs="Arial"/>
          <w:b/>
          <w:sz w:val="18"/>
        </w:rPr>
        <w:t xml:space="preserve">TERCERO.- </w:t>
      </w:r>
      <w:r w:rsidRPr="004E39E1">
        <w:rPr>
          <w:rFonts w:ascii="Arial" w:hAnsi="Arial" w:cs="Arial"/>
          <w:sz w:val="18"/>
        </w:rPr>
        <w:t>Que con el objeto de actualizar la normatividad señalada en el considerando anterior y adecuarla a la transparencia y ágil desincorporación de bienes muebles no útiles o improductivos propiedad del Tribunal Electoral del Poder Judicial de la Federación, la Comi</w:t>
      </w:r>
      <w:r w:rsidR="00827001" w:rsidRPr="004E39E1">
        <w:rPr>
          <w:rFonts w:ascii="Arial" w:hAnsi="Arial" w:cs="Arial"/>
          <w:sz w:val="18"/>
        </w:rPr>
        <w:t>sión de Administración expide los</w:t>
      </w:r>
      <w:r w:rsidRPr="004E39E1">
        <w:rPr>
          <w:rFonts w:ascii="Arial" w:hAnsi="Arial" w:cs="Arial"/>
          <w:sz w:val="18"/>
        </w:rPr>
        <w:t xml:space="preserve"> siguiente</w:t>
      </w:r>
      <w:r w:rsidR="00827001" w:rsidRPr="004E39E1">
        <w:rPr>
          <w:rFonts w:ascii="Arial" w:hAnsi="Arial" w:cs="Arial"/>
          <w:sz w:val="18"/>
        </w:rPr>
        <w:t>s</w:t>
      </w:r>
      <w:r w:rsidRPr="004E39E1">
        <w:rPr>
          <w:rFonts w:ascii="Arial" w:hAnsi="Arial" w:cs="Arial"/>
          <w:sz w:val="18"/>
        </w:rPr>
        <w:t>:</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TÍTULO ÚNICO</w:t>
      </w:r>
    </w:p>
    <w:p w:rsidR="0006407B" w:rsidRPr="004E39E1" w:rsidRDefault="0006407B">
      <w:pPr>
        <w:pStyle w:val="Ttulo5"/>
        <w:spacing w:before="100" w:beforeAutospacing="1" w:after="100" w:afterAutospacing="1"/>
        <w:rPr>
          <w:rFonts w:cs="Arial"/>
          <w:sz w:val="18"/>
        </w:rPr>
      </w:pPr>
      <w:r w:rsidRPr="004E39E1">
        <w:rPr>
          <w:rFonts w:cs="Arial"/>
          <w:sz w:val="18"/>
        </w:rPr>
        <w:t>DESINCORPORACIÓN DE BIENES</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CAPÍTULO I</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GENERALIDADES</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w:t>
      </w:r>
      <w:r w:rsidRPr="004E39E1">
        <w:rPr>
          <w:rFonts w:ascii="Arial" w:hAnsi="Arial" w:cs="Arial"/>
          <w:sz w:val="18"/>
          <w:lang w:val="es-MX"/>
        </w:rPr>
        <w:t xml:space="preserve"> </w:t>
      </w:r>
      <w:r w:rsidRPr="004E39E1">
        <w:rPr>
          <w:rFonts w:ascii="Arial" w:hAnsi="Arial" w:cs="Arial"/>
          <w:b/>
          <w:sz w:val="18"/>
          <w:lang w:val="es-MX"/>
        </w:rPr>
        <w:t>1. OBJETO.</w:t>
      </w:r>
      <w:r w:rsidRPr="004E39E1">
        <w:rPr>
          <w:rFonts w:ascii="Arial" w:hAnsi="Arial" w:cs="Arial"/>
          <w:sz w:val="18"/>
          <w:lang w:val="es-MX"/>
        </w:rPr>
        <w:t xml:space="preserve"> El presente acuerdo general</w:t>
      </w:r>
      <w:r w:rsidRPr="004E39E1">
        <w:rPr>
          <w:rFonts w:ascii="Arial" w:hAnsi="Arial" w:cs="Arial"/>
          <w:b/>
          <w:sz w:val="18"/>
          <w:lang w:val="es-MX"/>
        </w:rPr>
        <w:t xml:space="preserve"> </w:t>
      </w:r>
      <w:r w:rsidRPr="004E39E1">
        <w:rPr>
          <w:rFonts w:ascii="Arial" w:hAnsi="Arial" w:cs="Arial"/>
          <w:sz w:val="18"/>
          <w:lang w:val="es-MX"/>
        </w:rPr>
        <w:t>tiene por objeto establecer las reglas de carácter general que deben observarse para la desincorporación de los bienes propiedad del Tribunal Electoral del Poder Judicial de la Federación.</w:t>
      </w:r>
      <w:r w:rsidR="006374CC" w:rsidRPr="004E39E1">
        <w:rPr>
          <w:rFonts w:ascii="Arial" w:hAnsi="Arial" w:cs="Arial"/>
          <w:sz w:val="18"/>
          <w:lang w:val="es-MX"/>
        </w:rPr>
        <w:t xml:space="preserve"> </w:t>
      </w:r>
      <w:r w:rsidR="001E7BB0" w:rsidRPr="004E39E1">
        <w:rPr>
          <w:rFonts w:ascii="Arial" w:hAnsi="Arial" w:cs="Arial"/>
          <w:sz w:val="16"/>
          <w:szCs w:val="16"/>
        </w:rPr>
        <w:t xml:space="preserve">[Modificado mediante Acuerdo de la Comisión de Administración de </w:t>
      </w:r>
      <w:r w:rsidR="008150E4" w:rsidRPr="004E39E1">
        <w:rPr>
          <w:rFonts w:ascii="Arial" w:hAnsi="Arial" w:cs="Arial"/>
          <w:sz w:val="16"/>
          <w:szCs w:val="16"/>
        </w:rPr>
        <w:t>fecha 21-05-08</w:t>
      </w:r>
      <w:r w:rsidR="001E7BB0" w:rsidRPr="004E39E1">
        <w:rPr>
          <w:rFonts w:ascii="Arial" w:hAnsi="Arial" w:cs="Arial"/>
          <w:sz w:val="16"/>
          <w:szCs w:val="16"/>
        </w:rPr>
        <w:t>]</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w:t>
      </w:r>
      <w:r w:rsidRPr="004E39E1">
        <w:rPr>
          <w:rFonts w:ascii="Arial" w:hAnsi="Arial" w:cs="Arial"/>
          <w:sz w:val="18"/>
          <w:lang w:val="es-MX"/>
        </w:rPr>
        <w:t xml:space="preserve"> </w:t>
      </w:r>
      <w:r w:rsidRPr="004E39E1">
        <w:rPr>
          <w:rFonts w:ascii="Arial" w:hAnsi="Arial" w:cs="Arial"/>
          <w:b/>
          <w:sz w:val="18"/>
          <w:lang w:val="es-MX"/>
        </w:rPr>
        <w:t>2. DEFINICIONES.</w:t>
      </w:r>
      <w:r w:rsidRPr="004E39E1">
        <w:rPr>
          <w:rFonts w:ascii="Arial" w:hAnsi="Arial" w:cs="Arial"/>
          <w:sz w:val="18"/>
          <w:lang w:val="es-MX"/>
        </w:rPr>
        <w:t xml:space="preserve"> Para los efectos de este acuerdo general se entenderá por:</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Ley:</w:t>
      </w:r>
      <w:r w:rsidRPr="004E39E1">
        <w:rPr>
          <w:rFonts w:ascii="Arial" w:hAnsi="Arial" w:cs="Arial"/>
          <w:sz w:val="18"/>
          <w:lang w:val="es-MX"/>
        </w:rPr>
        <w:t xml:space="preserve"> La Ley Orgánica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Tribunal Electoral:</w:t>
      </w:r>
      <w:r w:rsidRPr="004E39E1">
        <w:rPr>
          <w:rFonts w:ascii="Arial" w:hAnsi="Arial" w:cs="Arial"/>
          <w:sz w:val="18"/>
          <w:lang w:val="es-MX"/>
        </w:rPr>
        <w:t xml:space="preserve"> 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Comisión:</w:t>
      </w:r>
      <w:r w:rsidRPr="004E39E1">
        <w:rPr>
          <w:rFonts w:ascii="Arial" w:hAnsi="Arial" w:cs="Arial"/>
          <w:sz w:val="18"/>
          <w:lang w:val="es-MX"/>
        </w:rPr>
        <w:t xml:space="preserve"> La Comisión de Administración del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lastRenderedPageBreak/>
        <w:t>Secretaría Administrativa:</w:t>
      </w:r>
      <w:r w:rsidRPr="004E39E1">
        <w:rPr>
          <w:rFonts w:ascii="Arial" w:hAnsi="Arial" w:cs="Arial"/>
          <w:sz w:val="18"/>
          <w:lang w:val="es-MX"/>
        </w:rPr>
        <w:t xml:space="preserve"> La Secretaría Administrativa del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Finanzas:</w:t>
      </w:r>
      <w:r w:rsidRPr="004E39E1">
        <w:rPr>
          <w:rFonts w:ascii="Arial" w:hAnsi="Arial" w:cs="Arial"/>
          <w:sz w:val="18"/>
          <w:lang w:val="es-MX"/>
        </w:rPr>
        <w:t xml:space="preserve"> La Coordinación Financiera del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Contraloría:</w:t>
      </w:r>
      <w:r w:rsidRPr="004E39E1">
        <w:rPr>
          <w:rFonts w:ascii="Arial" w:hAnsi="Arial" w:cs="Arial"/>
          <w:sz w:val="18"/>
          <w:lang w:val="es-MX"/>
        </w:rPr>
        <w:t xml:space="preserve"> La Contraloría Interna del Tribunal Electoral del Poder Judicial de la Federación;</w:t>
      </w:r>
    </w:p>
    <w:p w:rsidR="0006407B" w:rsidRPr="004E39E1" w:rsidRDefault="0006407B" w:rsidP="00B13AB2">
      <w:pPr>
        <w:pStyle w:val="Texto"/>
        <w:numPr>
          <w:ilvl w:val="0"/>
          <w:numId w:val="2"/>
        </w:numPr>
        <w:spacing w:line="219" w:lineRule="exact"/>
        <w:rPr>
          <w:b/>
          <w:szCs w:val="18"/>
        </w:rPr>
      </w:pPr>
      <w:r w:rsidRPr="004E39E1">
        <w:rPr>
          <w:b/>
          <w:lang w:val="es-MX"/>
        </w:rPr>
        <w:t>Comité:</w:t>
      </w:r>
      <w:r w:rsidR="00B13AB2" w:rsidRPr="004E39E1">
        <w:rPr>
          <w:szCs w:val="18"/>
        </w:rPr>
        <w:t xml:space="preserve"> El Comité de Desincorporación de Bienes del Tribunal Electoral del Poder Judicial de la Federación</w:t>
      </w:r>
      <w:r w:rsidR="00B13AB2" w:rsidRPr="004E39E1">
        <w:rPr>
          <w:b/>
          <w:szCs w:val="18"/>
        </w:rPr>
        <w:t>;</w:t>
      </w:r>
      <w:r w:rsidR="006419F9" w:rsidRPr="004E39E1">
        <w:rPr>
          <w:sz w:val="16"/>
          <w:szCs w:val="16"/>
        </w:rPr>
        <w:t xml:space="preserve"> </w:t>
      </w:r>
      <w:r w:rsidR="001E7BB0" w:rsidRPr="004E39E1">
        <w:rPr>
          <w:sz w:val="16"/>
          <w:szCs w:val="16"/>
        </w:rPr>
        <w:t xml:space="preserve">[Modificado mediante Acuerdo de la Comisión de </w:t>
      </w:r>
      <w:r w:rsidR="008150E4" w:rsidRPr="004E39E1">
        <w:rPr>
          <w:sz w:val="16"/>
          <w:szCs w:val="16"/>
        </w:rPr>
        <w:t>Administración de fecha 21-05-08</w:t>
      </w:r>
      <w:r w:rsidR="001E7BB0" w:rsidRPr="004E39E1">
        <w:rPr>
          <w:sz w:val="16"/>
          <w:szCs w:val="16"/>
        </w:rPr>
        <w:t>]</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Recursos Materiales:</w:t>
      </w:r>
      <w:r w:rsidRPr="004E39E1">
        <w:rPr>
          <w:rFonts w:ascii="Arial" w:hAnsi="Arial" w:cs="Arial"/>
          <w:sz w:val="18"/>
          <w:lang w:val="es-MX"/>
        </w:rPr>
        <w:t xml:space="preserve"> La Dirección General de Recursos Materiales del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Contratista:</w:t>
      </w:r>
      <w:r w:rsidRPr="004E39E1">
        <w:rPr>
          <w:rFonts w:ascii="Arial" w:hAnsi="Arial" w:cs="Arial"/>
          <w:sz w:val="18"/>
          <w:lang w:val="es-MX"/>
        </w:rPr>
        <w:t xml:space="preserve"> La persona física o moral con la que se celebren contratos;</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Día Hábil:</w:t>
      </w:r>
      <w:r w:rsidRPr="004E39E1">
        <w:rPr>
          <w:rFonts w:ascii="Arial" w:hAnsi="Arial" w:cs="Arial"/>
          <w:sz w:val="18"/>
          <w:lang w:val="es-MX"/>
        </w:rPr>
        <w:t xml:space="preserve"> Los días de labores del área administrativa del Tribunal Electoral del Poder Judicial de la Federación;</w:t>
      </w:r>
    </w:p>
    <w:p w:rsidR="0006407B" w:rsidRPr="004E39E1" w:rsidRDefault="0006407B" w:rsidP="0006407B">
      <w:pPr>
        <w:numPr>
          <w:ilvl w:val="0"/>
          <w:numId w:val="2"/>
        </w:numPr>
        <w:spacing w:before="100" w:beforeAutospacing="1" w:after="100" w:afterAutospacing="1"/>
        <w:jc w:val="both"/>
        <w:rPr>
          <w:rFonts w:ascii="Arial" w:hAnsi="Arial" w:cs="Arial"/>
          <w:sz w:val="18"/>
          <w:lang w:val="es-MX"/>
        </w:rPr>
      </w:pPr>
      <w:r w:rsidRPr="004E39E1">
        <w:rPr>
          <w:rFonts w:ascii="Arial" w:hAnsi="Arial" w:cs="Arial"/>
          <w:b/>
          <w:sz w:val="18"/>
          <w:lang w:val="es-MX"/>
        </w:rPr>
        <w:t>Salario Mínimo:</w:t>
      </w:r>
      <w:r w:rsidRPr="004E39E1">
        <w:rPr>
          <w:rFonts w:ascii="Arial" w:hAnsi="Arial" w:cs="Arial"/>
          <w:sz w:val="18"/>
          <w:lang w:val="es-MX"/>
        </w:rPr>
        <w:t xml:space="preserve"> El salario mínimo general diario vigente para el Distrito Federal;</w:t>
      </w:r>
    </w:p>
    <w:p w:rsidR="00F64ED6" w:rsidRPr="004E39E1" w:rsidRDefault="0006407B" w:rsidP="00F64ED6">
      <w:pPr>
        <w:pStyle w:val="NormalWeb"/>
        <w:numPr>
          <w:ilvl w:val="0"/>
          <w:numId w:val="2"/>
        </w:numPr>
        <w:spacing w:beforeAutospacing="1" w:afterAutospacing="1"/>
        <w:jc w:val="both"/>
        <w:rPr>
          <w:rFonts w:ascii="Arial" w:hAnsi="Arial" w:cs="Arial"/>
          <w:sz w:val="16"/>
          <w:szCs w:val="16"/>
        </w:rPr>
      </w:pPr>
      <w:r w:rsidRPr="004E39E1">
        <w:rPr>
          <w:rFonts w:ascii="Arial" w:hAnsi="Arial" w:cs="Arial"/>
          <w:b/>
          <w:sz w:val="18"/>
        </w:rPr>
        <w:t xml:space="preserve">Bienes: </w:t>
      </w:r>
      <w:r w:rsidRPr="004E39E1">
        <w:rPr>
          <w:rFonts w:ascii="Arial" w:hAnsi="Arial" w:cs="Arial"/>
          <w:sz w:val="18"/>
        </w:rPr>
        <w:t>Los bienes muebles, instrumentales y de consumo de dominio privado de la Federación, que figuren en los inventarios del Tribunal Electoral</w:t>
      </w:r>
      <w:r w:rsidR="00BA046E" w:rsidRPr="004E39E1">
        <w:rPr>
          <w:rFonts w:ascii="Arial" w:hAnsi="Arial" w:cs="Arial"/>
          <w:sz w:val="18"/>
        </w:rPr>
        <w:t xml:space="preserve">, </w:t>
      </w:r>
      <w:r w:rsidR="00BA046E" w:rsidRPr="004E39E1">
        <w:rPr>
          <w:rFonts w:ascii="Arial" w:hAnsi="Arial" w:cs="Arial"/>
          <w:b/>
          <w:sz w:val="18"/>
        </w:rPr>
        <w:t>así como las publicaciones</w:t>
      </w:r>
      <w:r w:rsidRPr="004E39E1">
        <w:rPr>
          <w:rFonts w:ascii="Arial" w:hAnsi="Arial" w:cs="Arial"/>
          <w:b/>
          <w:sz w:val="16"/>
          <w:szCs w:val="16"/>
        </w:rPr>
        <w:t>.</w:t>
      </w:r>
      <w:r w:rsidR="00F64ED6" w:rsidRPr="004E39E1">
        <w:rPr>
          <w:rFonts w:ascii="Arial" w:hAnsi="Arial" w:cs="Arial"/>
          <w:sz w:val="16"/>
          <w:szCs w:val="16"/>
        </w:rPr>
        <w:t xml:space="preserve"> [Adicionado mediante Acuerdo 367/S12(9-XII-2014)]</w:t>
      </w:r>
    </w:p>
    <w:p w:rsidR="0006407B" w:rsidRPr="004E39E1" w:rsidRDefault="0006407B">
      <w:pPr>
        <w:pStyle w:val="NormalWeb"/>
        <w:spacing w:beforeAutospacing="1" w:afterAutospacing="1"/>
        <w:ind w:left="1620"/>
        <w:jc w:val="both"/>
        <w:rPr>
          <w:rFonts w:ascii="Arial" w:hAnsi="Arial" w:cs="Arial"/>
          <w:sz w:val="18"/>
        </w:rPr>
      </w:pPr>
      <w:r w:rsidRPr="004E39E1">
        <w:rPr>
          <w:rFonts w:ascii="Arial" w:hAnsi="Arial" w:cs="Arial"/>
          <w:sz w:val="18"/>
        </w:rPr>
        <w:t>Se ubican también dentro de esta definición los bienes muebles que por su naturaleza, en los términos del artículo 751 del Código Civil Federal, se hayan considerado como inmuebles y que hubieren recobrado su calidad de muebles por las razones que en el mismo precepto se establecen;</w:t>
      </w:r>
    </w:p>
    <w:p w:rsidR="00CC4D0A" w:rsidRPr="004E39E1" w:rsidRDefault="00B13AB2" w:rsidP="00CC4D0A">
      <w:pPr>
        <w:pStyle w:val="Texto"/>
        <w:numPr>
          <w:ilvl w:val="0"/>
          <w:numId w:val="28"/>
        </w:numPr>
        <w:spacing w:line="219" w:lineRule="exact"/>
        <w:rPr>
          <w:szCs w:val="18"/>
        </w:rPr>
      </w:pPr>
      <w:r w:rsidRPr="004E39E1">
        <w:rPr>
          <w:b/>
          <w:szCs w:val="18"/>
        </w:rPr>
        <w:t>Bienes inmuebles</w:t>
      </w:r>
      <w:r w:rsidRPr="004E39E1">
        <w:rPr>
          <w:szCs w:val="18"/>
        </w:rPr>
        <w:t>: Los enunciados en el artículo 750 del Código Civil Federal, que figuren en los inventarios del Tribunal Electoral;</w:t>
      </w:r>
      <w:r w:rsidR="006419F9" w:rsidRPr="004E39E1">
        <w:rPr>
          <w:sz w:val="16"/>
          <w:szCs w:val="16"/>
        </w:rPr>
        <w:t xml:space="preserve"> [Adicionado mediante Acuerdo</w:t>
      </w:r>
      <w:r w:rsidR="001E7BB0" w:rsidRPr="004E39E1">
        <w:rPr>
          <w:sz w:val="16"/>
          <w:szCs w:val="16"/>
        </w:rPr>
        <w:t xml:space="preserve"> de la Comisión de Administración</w:t>
      </w:r>
      <w:r w:rsidR="008150E4" w:rsidRPr="004E39E1">
        <w:rPr>
          <w:sz w:val="16"/>
          <w:szCs w:val="16"/>
        </w:rPr>
        <w:t xml:space="preserve"> de fecha 21-05-08</w:t>
      </w:r>
      <w:r w:rsidR="006419F9" w:rsidRPr="004E39E1">
        <w:rPr>
          <w:sz w:val="16"/>
          <w:szCs w:val="16"/>
        </w:rPr>
        <w:t>]</w:t>
      </w:r>
    </w:p>
    <w:p w:rsidR="00BA0B4D" w:rsidRPr="004E39E1" w:rsidRDefault="00930089" w:rsidP="00BA0B4D">
      <w:pPr>
        <w:pStyle w:val="Texto"/>
        <w:numPr>
          <w:ilvl w:val="0"/>
          <w:numId w:val="33"/>
        </w:numPr>
        <w:spacing w:before="100" w:beforeAutospacing="1" w:after="100" w:afterAutospacing="1" w:line="240" w:lineRule="auto"/>
        <w:ind w:left="1622" w:hanging="720"/>
        <w:rPr>
          <w:szCs w:val="18"/>
        </w:rPr>
      </w:pPr>
      <w:r w:rsidRPr="004E39E1">
        <w:rPr>
          <w:b/>
        </w:rPr>
        <w:t xml:space="preserve">    </w:t>
      </w:r>
      <w:r w:rsidR="0006407B" w:rsidRPr="004E39E1">
        <w:rPr>
          <w:b/>
        </w:rPr>
        <w:t>Bienes instrumentales:</w:t>
      </w:r>
      <w:r w:rsidR="0006407B" w:rsidRPr="004E39E1">
        <w:t xml:space="preserve"> Los considerados como implementos o medios para el desarrollo de las actividades que realizan las áreas que conforman el Tribunal Electoral, siendo susceptibles de la asignación de un número de inventario dada su naturaleza y finalidad en el servicio;</w:t>
      </w:r>
    </w:p>
    <w:p w:rsidR="004953F9" w:rsidRPr="004E39E1" w:rsidRDefault="004953F9" w:rsidP="004953F9">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Bienes de consumo:</w:t>
      </w:r>
      <w:r w:rsidR="0006407B" w:rsidRPr="004E39E1">
        <w:t xml:space="preserve"> Los que por su utilización en el desarrollo de las actividades que </w:t>
      </w:r>
      <w:r w:rsidR="00BA0B4D" w:rsidRPr="004E39E1">
        <w:t xml:space="preserve"> </w:t>
      </w:r>
      <w:r w:rsidR="0006407B" w:rsidRPr="004E39E1">
        <w:t>realizan las áreas que conforman el Tribunal Electoral, tienen un desgaste parcial o total y son controlados a través de un registro global en sus inventarios, dada su naturaleza y finalidad en el servicio;</w:t>
      </w:r>
    </w:p>
    <w:p w:rsidR="004953F9" w:rsidRPr="004E39E1" w:rsidRDefault="004953F9" w:rsidP="004953F9">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Bienes no útiles:</w:t>
      </w:r>
      <w:r w:rsidR="0006407B" w:rsidRPr="004E39E1">
        <w:t xml:space="preserve"> Los que por su estado físico o cualidades técnicas no resulten funcionales, no se requieran para el servicio al cual se destinaron o sea inconveniente seguirlos utilizando;</w:t>
      </w:r>
    </w:p>
    <w:p w:rsidR="00B33C38" w:rsidRPr="004E39E1" w:rsidRDefault="004953F9"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Destino final:</w:t>
      </w:r>
      <w:r w:rsidR="0006407B" w:rsidRPr="004E39E1">
        <w:t xml:space="preserve"> La determinación de enajenar, donar, permutar, transferir, destruir u otorgar en dación en pago los bienes no útiles;</w:t>
      </w:r>
    </w:p>
    <w:p w:rsidR="00B33C38" w:rsidRPr="004E39E1" w:rsidRDefault="00B33C38"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Avalúo:</w:t>
      </w:r>
      <w:r w:rsidR="0006407B" w:rsidRPr="004E39E1">
        <w:t xml:space="preserve"> El resultado del proceso de estimar en dinero el valor de los bienes por parte de los valuadores facultados para desarrollar dicha actividad;</w:t>
      </w:r>
    </w:p>
    <w:p w:rsidR="00B33C38" w:rsidRPr="004E39E1" w:rsidRDefault="00B33C38"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Vida útil:</w:t>
      </w:r>
      <w:r w:rsidR="0006407B" w:rsidRPr="004E39E1">
        <w:t xml:space="preserve"> Tiempo de uso según norma del fabricante, régimen fiscal, tecnología, etc;</w:t>
      </w:r>
    </w:p>
    <w:p w:rsidR="00B33C38" w:rsidRPr="004E39E1" w:rsidRDefault="00B33C38"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Lista:</w:t>
      </w:r>
      <w:r w:rsidR="0006407B" w:rsidRPr="004E39E1">
        <w:t xml:space="preserve"> Lista de precios mínimos para desechos de bienes muebles que generen las dependencias y entidades de la Administración Pública Federal;</w:t>
      </w:r>
    </w:p>
    <w:p w:rsidR="00B33C38" w:rsidRPr="004E39E1" w:rsidRDefault="00B33C38"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Asesores:</w:t>
      </w:r>
      <w:r w:rsidR="0006407B" w:rsidRPr="004E39E1">
        <w:t xml:space="preserve"> Persona o personas  que prestarán asesoría al Comité; y</w:t>
      </w:r>
    </w:p>
    <w:p w:rsidR="0006407B" w:rsidRPr="004E39E1" w:rsidRDefault="00B33C38" w:rsidP="00B33C38">
      <w:pPr>
        <w:pStyle w:val="Texto"/>
        <w:numPr>
          <w:ilvl w:val="0"/>
          <w:numId w:val="39"/>
        </w:numPr>
        <w:spacing w:before="100" w:beforeAutospacing="1" w:after="100" w:afterAutospacing="1" w:line="240" w:lineRule="auto"/>
        <w:ind w:left="1622" w:hanging="720"/>
        <w:rPr>
          <w:szCs w:val="18"/>
        </w:rPr>
      </w:pPr>
      <w:r w:rsidRPr="004E39E1">
        <w:rPr>
          <w:b/>
        </w:rPr>
        <w:t xml:space="preserve">    </w:t>
      </w:r>
      <w:r w:rsidR="0006407B" w:rsidRPr="004E39E1">
        <w:rPr>
          <w:b/>
        </w:rPr>
        <w:t>Desechos:</w:t>
      </w:r>
      <w:r w:rsidR="0006407B" w:rsidRPr="004E39E1">
        <w:t xml:space="preserve"> Desperdicio.</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lastRenderedPageBreak/>
        <w:t>Artículo</w:t>
      </w:r>
      <w:r w:rsidRPr="004E39E1">
        <w:rPr>
          <w:rFonts w:ascii="Arial" w:hAnsi="Arial" w:cs="Arial"/>
          <w:sz w:val="18"/>
          <w:lang w:val="es-MX"/>
        </w:rPr>
        <w:t xml:space="preserve"> </w:t>
      </w:r>
      <w:r w:rsidRPr="004E39E1">
        <w:rPr>
          <w:rFonts w:ascii="Arial" w:hAnsi="Arial" w:cs="Arial"/>
          <w:b/>
          <w:sz w:val="18"/>
          <w:lang w:val="es-MX"/>
        </w:rPr>
        <w:t xml:space="preserve">3. PROCEDENCIA DE LA DESINCORPORACIÓN. </w:t>
      </w:r>
      <w:r w:rsidRPr="004E39E1">
        <w:rPr>
          <w:rFonts w:ascii="Arial" w:hAnsi="Arial" w:cs="Arial"/>
          <w:sz w:val="18"/>
          <w:lang w:val="es-MX"/>
        </w:rPr>
        <w:t>Procederá la desincorporación de los bienes muebles improductivos que formen parte del patrimonio del Tribunal Electoral, en los siguientes casos:</w:t>
      </w:r>
    </w:p>
    <w:p w:rsidR="0006407B" w:rsidRPr="004E39E1" w:rsidRDefault="0006407B" w:rsidP="0006407B">
      <w:pPr>
        <w:numPr>
          <w:ilvl w:val="0"/>
          <w:numId w:val="3"/>
        </w:numPr>
        <w:spacing w:before="100" w:beforeAutospacing="1" w:after="100" w:afterAutospacing="1"/>
        <w:jc w:val="both"/>
        <w:rPr>
          <w:rFonts w:ascii="Arial" w:hAnsi="Arial" w:cs="Arial"/>
          <w:sz w:val="18"/>
          <w:lang w:val="es-MX"/>
        </w:rPr>
      </w:pPr>
      <w:r w:rsidRPr="004E39E1">
        <w:rPr>
          <w:rFonts w:ascii="Arial" w:hAnsi="Arial" w:cs="Arial"/>
          <w:sz w:val="18"/>
          <w:lang w:val="es-MX"/>
        </w:rPr>
        <w:t xml:space="preserve">Cuando los bienes muebles por sus cualidades técnicas ya no resulten útiles, funcionales o que no se requieran para el servicio al cual se les destinó o sea inconveniente seguirlos utilizando; </w:t>
      </w:r>
    </w:p>
    <w:p w:rsidR="0006407B" w:rsidRPr="004E39E1" w:rsidRDefault="0006407B" w:rsidP="0006407B">
      <w:pPr>
        <w:numPr>
          <w:ilvl w:val="0"/>
          <w:numId w:val="3"/>
        </w:numPr>
        <w:tabs>
          <w:tab w:val="left" w:pos="1620"/>
        </w:tabs>
        <w:spacing w:before="100" w:beforeAutospacing="1" w:after="100" w:afterAutospacing="1"/>
        <w:jc w:val="both"/>
        <w:rPr>
          <w:rFonts w:ascii="Arial" w:hAnsi="Arial" w:cs="Arial"/>
          <w:sz w:val="18"/>
          <w:lang w:val="es-MX"/>
        </w:rPr>
      </w:pPr>
      <w:r w:rsidRPr="004E39E1">
        <w:rPr>
          <w:rFonts w:ascii="Arial" w:hAnsi="Arial" w:cs="Arial"/>
          <w:sz w:val="18"/>
          <w:lang w:val="es-MX"/>
        </w:rPr>
        <w:t>Cuando los bienes muebles por su estado físico, derivado de accidentes, deterioro acelerado o terminación de su vida útil, no resulten convenientes y funcionales o que no se requieran para el servicio al cual se les destinó o sea inconveniente seguirlos aprovechando; y</w:t>
      </w:r>
    </w:p>
    <w:p w:rsidR="0006407B" w:rsidRPr="004E39E1" w:rsidRDefault="0006407B" w:rsidP="0006407B">
      <w:pPr>
        <w:numPr>
          <w:ilvl w:val="0"/>
          <w:numId w:val="3"/>
        </w:numPr>
        <w:tabs>
          <w:tab w:val="left" w:pos="1620"/>
        </w:tabs>
        <w:spacing w:before="100" w:beforeAutospacing="1" w:after="100" w:afterAutospacing="1"/>
        <w:jc w:val="both"/>
        <w:rPr>
          <w:rFonts w:ascii="Arial" w:hAnsi="Arial" w:cs="Arial"/>
          <w:sz w:val="18"/>
          <w:lang w:val="es-MX"/>
        </w:rPr>
      </w:pPr>
      <w:r w:rsidRPr="004E39E1">
        <w:rPr>
          <w:rFonts w:ascii="Arial" w:hAnsi="Arial" w:cs="Arial"/>
          <w:sz w:val="18"/>
          <w:lang w:val="es-MX"/>
        </w:rPr>
        <w:t>También deberán desincorporarse y por ende, dar de baja aquellos bienes muebles que hayan sido robados, extraviados o dañados por siniestros, accidentes o deterioro acelerado.</w:t>
      </w:r>
    </w:p>
    <w:p w:rsidR="00F64ED6" w:rsidRPr="004E39E1" w:rsidRDefault="00221BB1" w:rsidP="00F64ED6">
      <w:pPr>
        <w:pStyle w:val="Prrafodelista"/>
        <w:numPr>
          <w:ilvl w:val="0"/>
          <w:numId w:val="3"/>
        </w:numPr>
        <w:rPr>
          <w:rFonts w:ascii="Arial" w:hAnsi="Arial" w:cs="Arial"/>
          <w:sz w:val="18"/>
          <w:szCs w:val="18"/>
        </w:rPr>
      </w:pPr>
      <w:r w:rsidRPr="004E39E1">
        <w:rPr>
          <w:rFonts w:ascii="Arial" w:hAnsi="Arial" w:cs="Arial"/>
          <w:b/>
          <w:sz w:val="18"/>
          <w:szCs w:val="18"/>
        </w:rPr>
        <w:t>Tratándose de las publicaciones que edite el Tribunal Electoral, procederá su desincorporación y baja cuando las mismas ya no estén vigentes, sean obsoletas o su estado físico así lo justifique</w:t>
      </w:r>
      <w:r w:rsidRPr="004E39E1">
        <w:rPr>
          <w:rFonts w:ascii="Arial" w:hAnsi="Arial" w:cs="Arial"/>
          <w:sz w:val="18"/>
          <w:szCs w:val="18"/>
        </w:rPr>
        <w:t>.</w:t>
      </w:r>
      <w:r w:rsidR="00F64ED6" w:rsidRPr="004E39E1">
        <w:t xml:space="preserve"> </w:t>
      </w:r>
      <w:r w:rsidR="00F64ED6" w:rsidRPr="004E39E1">
        <w:rPr>
          <w:rFonts w:ascii="Arial" w:hAnsi="Arial" w:cs="Arial"/>
          <w:sz w:val="18"/>
          <w:szCs w:val="18"/>
        </w:rPr>
        <w:t>[Adicionado mediante Acuerdo 367/S12(9-XII-2014)]</w:t>
      </w:r>
    </w:p>
    <w:p w:rsidR="00F64ED6" w:rsidRPr="004E39E1" w:rsidRDefault="00F64ED6" w:rsidP="001E7BB0">
      <w:pPr>
        <w:pStyle w:val="Texto"/>
        <w:spacing w:line="219" w:lineRule="exact"/>
        <w:rPr>
          <w:b/>
          <w:lang w:val="es-MX"/>
        </w:rPr>
      </w:pPr>
    </w:p>
    <w:p w:rsidR="0006407B" w:rsidRPr="004E39E1" w:rsidRDefault="0006407B" w:rsidP="001E7BB0">
      <w:pPr>
        <w:pStyle w:val="Texto"/>
        <w:spacing w:line="219" w:lineRule="exact"/>
        <w:rPr>
          <w:szCs w:val="18"/>
        </w:rPr>
      </w:pPr>
      <w:r w:rsidRPr="004E39E1">
        <w:rPr>
          <w:b/>
          <w:lang w:val="es-MX"/>
        </w:rPr>
        <w:t>Artículo</w:t>
      </w:r>
      <w:r w:rsidRPr="004E39E1">
        <w:rPr>
          <w:lang w:val="es-MX"/>
        </w:rPr>
        <w:t xml:space="preserve"> </w:t>
      </w:r>
      <w:r w:rsidRPr="004E39E1">
        <w:rPr>
          <w:b/>
          <w:bCs/>
          <w:lang w:val="es-MX"/>
        </w:rPr>
        <w:t>4.</w:t>
      </w:r>
      <w:r w:rsidRPr="004E39E1">
        <w:rPr>
          <w:b/>
          <w:lang w:val="es-MX"/>
        </w:rPr>
        <w:t xml:space="preserve"> REASIGNACIÓN, REHABILITACIÓN O REAPROVECHAMIENTO.</w:t>
      </w:r>
      <w:r w:rsidR="001E7BB0" w:rsidRPr="004E39E1">
        <w:rPr>
          <w:szCs w:val="18"/>
        </w:rPr>
        <w:t xml:space="preserve"> La reasignación, rehabilitación o reaprovechamiento de los bienes muebles corresponderá a Recursos Materiales, a </w:t>
      </w:r>
      <w:smartTag w:uri="urn:schemas-microsoft-com:office:smarttags" w:element="PersonName">
        <w:smartTagPr>
          <w:attr w:name="ProductID" w:val="la Direcci￳n General"/>
        </w:smartTagPr>
        <w:r w:rsidR="001E7BB0" w:rsidRPr="004E39E1">
          <w:rPr>
            <w:szCs w:val="18"/>
          </w:rPr>
          <w:t>la Dirección General</w:t>
        </w:r>
      </w:smartTag>
      <w:r w:rsidR="001E7BB0" w:rsidRPr="004E39E1">
        <w:rPr>
          <w:szCs w:val="18"/>
        </w:rPr>
        <w:t xml:space="preserve"> de Mantenimiento y Servicios Generales y a </w:t>
      </w:r>
      <w:smartTag w:uri="urn:schemas-microsoft-com:office:smarttags" w:element="PersonName">
        <w:smartTagPr>
          <w:attr w:name="ProductID" w:val="la Direcci￳n General"/>
        </w:smartTagPr>
        <w:r w:rsidR="001E7BB0" w:rsidRPr="004E39E1">
          <w:rPr>
            <w:szCs w:val="18"/>
          </w:rPr>
          <w:t>la Dirección General</w:t>
        </w:r>
      </w:smartTag>
      <w:r w:rsidR="001E7BB0" w:rsidRPr="004E39E1">
        <w:rPr>
          <w:szCs w:val="18"/>
        </w:rPr>
        <w:t xml:space="preserve"> de </w:t>
      </w:r>
      <w:smartTag w:uri="urn:schemas-microsoft-com:office:smarttags" w:element="PersonName">
        <w:smartTagPr>
          <w:attr w:name="ProductID" w:val="la Unidad"/>
        </w:smartTagPr>
        <w:r w:rsidR="001E7BB0" w:rsidRPr="004E39E1">
          <w:rPr>
            <w:szCs w:val="18"/>
          </w:rPr>
          <w:t>la Unidad</w:t>
        </w:r>
      </w:smartTag>
      <w:r w:rsidR="001E7BB0" w:rsidRPr="004E39E1">
        <w:rPr>
          <w:szCs w:val="18"/>
        </w:rPr>
        <w:t xml:space="preserve"> de Sistemas, en el ámbito de sus atribuciones</w:t>
      </w:r>
      <w:r w:rsidRPr="004E39E1">
        <w:rPr>
          <w:lang w:val="es-MX"/>
        </w:rPr>
        <w:t>.</w:t>
      </w:r>
      <w:r w:rsidR="00C568FB" w:rsidRPr="004E39E1">
        <w:rPr>
          <w:lang w:val="es-MX"/>
        </w:rPr>
        <w:t xml:space="preserve"> </w:t>
      </w:r>
      <w:r w:rsidR="006419F9" w:rsidRPr="004E39E1">
        <w:rPr>
          <w:sz w:val="16"/>
          <w:szCs w:val="16"/>
        </w:rPr>
        <w:t>[Modificado mediante Acuerdo</w:t>
      </w:r>
      <w:r w:rsidR="001E7BB0" w:rsidRPr="004E39E1">
        <w:rPr>
          <w:sz w:val="16"/>
          <w:szCs w:val="16"/>
        </w:rPr>
        <w:t xml:space="preserve"> de la Comisión de Administración</w:t>
      </w:r>
      <w:r w:rsidR="008150E4" w:rsidRPr="004E39E1">
        <w:rPr>
          <w:sz w:val="16"/>
          <w:szCs w:val="16"/>
        </w:rPr>
        <w:t xml:space="preserve"> de fecha 21-05-08</w:t>
      </w:r>
      <w:r w:rsidR="006419F9" w:rsidRPr="004E39E1">
        <w:rPr>
          <w:sz w:val="16"/>
          <w:szCs w:val="16"/>
        </w:rPr>
        <w:t>]</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sz w:val="18"/>
          <w:lang w:val="es-MX"/>
        </w:rPr>
        <w:t>Cuando el bien</w:t>
      </w:r>
      <w:r w:rsidR="00961349" w:rsidRPr="004E39E1">
        <w:rPr>
          <w:rFonts w:ascii="Arial" w:hAnsi="Arial" w:cs="Arial"/>
          <w:sz w:val="18"/>
          <w:lang w:val="es-MX"/>
        </w:rPr>
        <w:t xml:space="preserve"> mueble</w:t>
      </w:r>
      <w:r w:rsidR="00FC148E" w:rsidRPr="004E39E1">
        <w:rPr>
          <w:rFonts w:ascii="Arial" w:hAnsi="Arial" w:cs="Arial"/>
          <w:sz w:val="18"/>
          <w:lang w:val="es-MX"/>
        </w:rPr>
        <w:t xml:space="preserve"> </w:t>
      </w:r>
      <w:r w:rsidRPr="004E39E1">
        <w:rPr>
          <w:rFonts w:ascii="Arial" w:hAnsi="Arial" w:cs="Arial"/>
          <w:sz w:val="18"/>
          <w:lang w:val="es-MX"/>
        </w:rPr>
        <w:t>no resulte funcional para el servicio al cual se le destinó, se determine que se trata de bienes de nulo movimiento, pero por su estado de conservación se encuentre en condiciones de uso o consumo, se verificará los requerimientos de otras áreas usuarias para su posible aprovechamiento.</w:t>
      </w:r>
      <w:r w:rsidR="006419F9" w:rsidRPr="004E39E1">
        <w:rPr>
          <w:rFonts w:ascii="Arial" w:hAnsi="Arial" w:cs="Arial"/>
          <w:sz w:val="16"/>
          <w:szCs w:val="16"/>
        </w:rPr>
        <w:t xml:space="preserve"> [Modificado mediante Acuerdo</w:t>
      </w:r>
      <w:r w:rsidR="001E7BB0" w:rsidRPr="004E39E1">
        <w:rPr>
          <w:rFonts w:ascii="Arial" w:hAnsi="Arial" w:cs="Arial"/>
          <w:sz w:val="16"/>
          <w:szCs w:val="16"/>
        </w:rPr>
        <w:t xml:space="preserve"> de la Comisión de Administración</w:t>
      </w:r>
      <w:r w:rsidR="006419F9" w:rsidRPr="004E39E1">
        <w:rPr>
          <w:rFonts w:ascii="Arial" w:hAnsi="Arial" w:cs="Arial"/>
          <w:sz w:val="16"/>
          <w:szCs w:val="16"/>
        </w:rPr>
        <w:t xml:space="preserve"> de fecha 21-0</w:t>
      </w:r>
      <w:r w:rsidR="008150E4" w:rsidRPr="004E39E1">
        <w:rPr>
          <w:rFonts w:ascii="Arial" w:hAnsi="Arial" w:cs="Arial"/>
          <w:sz w:val="16"/>
          <w:szCs w:val="16"/>
        </w:rPr>
        <w:t>5-08</w:t>
      </w:r>
      <w:r w:rsidR="006419F9" w:rsidRPr="004E39E1">
        <w:rPr>
          <w:rFonts w:ascii="Arial" w:hAnsi="Arial" w:cs="Arial"/>
          <w:sz w:val="16"/>
          <w:szCs w:val="16"/>
        </w:rPr>
        <w:t>]</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sz w:val="18"/>
          <w:lang w:val="es-MX"/>
        </w:rPr>
        <w:t xml:space="preserve">Asimismo, cuando el bien </w:t>
      </w:r>
      <w:r w:rsidR="00961349" w:rsidRPr="004E39E1">
        <w:rPr>
          <w:rFonts w:ascii="Arial" w:hAnsi="Arial" w:cs="Arial"/>
          <w:sz w:val="18"/>
          <w:lang w:val="es-MX"/>
        </w:rPr>
        <w:t xml:space="preserve">mueble </w:t>
      </w:r>
      <w:r w:rsidRPr="004E39E1">
        <w:rPr>
          <w:rFonts w:ascii="Arial" w:hAnsi="Arial" w:cs="Arial"/>
          <w:sz w:val="18"/>
          <w:lang w:val="es-MX"/>
        </w:rPr>
        <w:t>no resulte útil por encontrarse deteriorado o por ser obsoleto, deberá considerarse la posibilidad de su rehabilitación o modernización, de ser éstas posibles, costeables y convenientes por lo que deberán de reasignarse, desincorporarse o reaprovecharse en un plazo de 10 días hábiles.</w:t>
      </w:r>
      <w:r w:rsidR="006419F9" w:rsidRPr="004E39E1">
        <w:rPr>
          <w:rFonts w:ascii="Arial" w:hAnsi="Arial" w:cs="Arial"/>
          <w:sz w:val="16"/>
          <w:szCs w:val="16"/>
        </w:rPr>
        <w:t xml:space="preserve"> [Modificado mediante Acuerdo </w:t>
      </w:r>
      <w:r w:rsidR="001E7BB0" w:rsidRPr="004E39E1">
        <w:rPr>
          <w:rFonts w:ascii="Arial" w:hAnsi="Arial" w:cs="Arial"/>
          <w:sz w:val="16"/>
          <w:szCs w:val="16"/>
        </w:rPr>
        <w:t xml:space="preserve">de la Comisión de Administración </w:t>
      </w:r>
      <w:r w:rsidR="008150E4" w:rsidRPr="004E39E1">
        <w:rPr>
          <w:rFonts w:ascii="Arial" w:hAnsi="Arial" w:cs="Arial"/>
          <w:sz w:val="16"/>
          <w:szCs w:val="16"/>
        </w:rPr>
        <w:t>de fecha 21-05-08</w:t>
      </w:r>
      <w:r w:rsidR="006419F9" w:rsidRPr="004E39E1">
        <w:rPr>
          <w:rFonts w:ascii="Arial" w:hAnsi="Arial" w:cs="Arial"/>
          <w:sz w:val="16"/>
          <w:szCs w:val="16"/>
        </w:rPr>
        <w:t>]</w:t>
      </w:r>
    </w:p>
    <w:p w:rsidR="00B13AB2" w:rsidRPr="004E39E1" w:rsidRDefault="00B13AB2" w:rsidP="00B13AB2">
      <w:pPr>
        <w:pStyle w:val="Texto"/>
        <w:spacing w:line="219" w:lineRule="exact"/>
        <w:ind w:firstLine="1418"/>
        <w:rPr>
          <w:szCs w:val="18"/>
        </w:rPr>
      </w:pPr>
      <w:r w:rsidRPr="004E39E1">
        <w:rPr>
          <w:b/>
          <w:lang w:val="es-MX"/>
        </w:rPr>
        <w:t xml:space="preserve">Artículo </w:t>
      </w:r>
      <w:r w:rsidRPr="004E39E1">
        <w:rPr>
          <w:b/>
          <w:bCs/>
          <w:lang w:val="es-MX"/>
        </w:rPr>
        <w:t>4 bis</w:t>
      </w:r>
      <w:r w:rsidRPr="004E39E1">
        <w:rPr>
          <w:bCs/>
          <w:lang w:val="es-MX"/>
        </w:rPr>
        <w:t xml:space="preserve">. </w:t>
      </w:r>
      <w:r w:rsidRPr="004E39E1">
        <w:rPr>
          <w:szCs w:val="18"/>
        </w:rPr>
        <w:t>Se consideran inmuebles sin utilidad institucional aquellos que por sus características o condiciones físicas, funcionalidad, imagen institucional, ubicación, seguridad estructural, restricciones de uso, mantenimiento o conservación, no son susceptibles de ser aprovechados razonable y suficiente para satisfacer las necesidades de las áreas jurisdiccionales, de apoyo técnico o administrativas del Tribunal Electoral, los cuales estarán sujetos a los lineamientos de desincorporación y enajenación establecidos en la normatividad aplicable del Tribunal Electoral.</w:t>
      </w:r>
      <w:r w:rsidR="006419F9" w:rsidRPr="004E39E1">
        <w:rPr>
          <w:sz w:val="16"/>
          <w:szCs w:val="16"/>
        </w:rPr>
        <w:t xml:space="preserve"> [Adicionado mediante Acuerdo de fecha </w:t>
      </w:r>
      <w:r w:rsidR="008150E4" w:rsidRPr="004E39E1">
        <w:rPr>
          <w:sz w:val="16"/>
          <w:szCs w:val="16"/>
        </w:rPr>
        <w:t>21-05-08</w:t>
      </w:r>
      <w:r w:rsidR="006419F9" w:rsidRPr="004E39E1">
        <w:rPr>
          <w:sz w:val="16"/>
          <w:szCs w:val="16"/>
        </w:rPr>
        <w:t>]</w:t>
      </w:r>
    </w:p>
    <w:p w:rsidR="00B13AB2" w:rsidRPr="004E39E1" w:rsidRDefault="00B13AB2">
      <w:pPr>
        <w:spacing w:before="100" w:beforeAutospacing="1" w:after="100" w:afterAutospacing="1"/>
        <w:ind w:firstLine="1440"/>
        <w:jc w:val="both"/>
        <w:rPr>
          <w:rFonts w:ascii="Arial" w:hAnsi="Arial" w:cs="Arial"/>
          <w:sz w:val="18"/>
          <w:lang w:val="es-MX"/>
        </w:rPr>
      </w:pPr>
    </w:p>
    <w:p w:rsidR="0006407B" w:rsidRPr="004E39E1" w:rsidRDefault="0006407B">
      <w:pPr>
        <w:pStyle w:val="Ttulo5"/>
        <w:spacing w:before="100" w:beforeAutospacing="1" w:after="100" w:afterAutospacing="1"/>
        <w:rPr>
          <w:rFonts w:cs="Arial"/>
          <w:sz w:val="18"/>
        </w:rPr>
      </w:pPr>
      <w:r w:rsidRPr="004E39E1">
        <w:rPr>
          <w:rFonts w:cs="Arial"/>
          <w:sz w:val="18"/>
        </w:rPr>
        <w:t>CAPÍTULO II</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 xml:space="preserve">DEL COMITÉ DE DESINCORPORACIÓN DE BIENES </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lastRenderedPageBreak/>
        <w:t>Artículo</w:t>
      </w:r>
      <w:r w:rsidRPr="004E39E1">
        <w:rPr>
          <w:rFonts w:ascii="Arial" w:hAnsi="Arial" w:cs="Arial"/>
          <w:sz w:val="18"/>
          <w:lang w:val="es-MX"/>
        </w:rPr>
        <w:t xml:space="preserve"> </w:t>
      </w:r>
      <w:r w:rsidRPr="004E39E1">
        <w:rPr>
          <w:rFonts w:ascii="Arial" w:hAnsi="Arial" w:cs="Arial"/>
          <w:b/>
          <w:bCs/>
          <w:sz w:val="18"/>
          <w:lang w:val="es-MX"/>
        </w:rPr>
        <w:t>5.</w:t>
      </w:r>
      <w:r w:rsidRPr="004E39E1">
        <w:rPr>
          <w:rFonts w:ascii="Arial" w:hAnsi="Arial" w:cs="Arial"/>
          <w:b/>
          <w:sz w:val="18"/>
          <w:lang w:val="es-MX"/>
        </w:rPr>
        <w:t xml:space="preserve"> DE SU CREACIÓN.</w:t>
      </w:r>
      <w:r w:rsidRPr="004E39E1">
        <w:rPr>
          <w:rFonts w:ascii="Arial" w:hAnsi="Arial" w:cs="Arial"/>
          <w:sz w:val="18"/>
          <w:lang w:val="es-MX"/>
        </w:rPr>
        <w:t xml:space="preserve"> A fin de contar con un cuerpo multidisciplinario dedicado específicamente a la enajenación de bienes que requiera realizar el Tribunal Electoral, se establece con carácter de permanente el</w:t>
      </w:r>
      <w:r w:rsidR="00B35889" w:rsidRPr="004E39E1">
        <w:rPr>
          <w:rFonts w:ascii="Arial" w:hAnsi="Arial" w:cs="Arial"/>
          <w:sz w:val="18"/>
          <w:lang w:val="es-MX"/>
        </w:rPr>
        <w:t xml:space="preserve"> </w:t>
      </w:r>
      <w:r w:rsidR="00B35889" w:rsidRPr="004E39E1">
        <w:rPr>
          <w:rFonts w:ascii="Arial" w:hAnsi="Arial" w:cs="Arial"/>
          <w:sz w:val="18"/>
          <w:szCs w:val="18"/>
          <w:lang w:val="es-MX"/>
        </w:rPr>
        <w:t xml:space="preserve">Comité de </w:t>
      </w:r>
      <w:r w:rsidR="00B35889" w:rsidRPr="004E39E1">
        <w:rPr>
          <w:rFonts w:ascii="Arial" w:hAnsi="Arial" w:cs="Arial"/>
          <w:sz w:val="18"/>
          <w:szCs w:val="18"/>
        </w:rPr>
        <w:t xml:space="preserve">Desincorporación de Bienes </w:t>
      </w:r>
      <w:r w:rsidR="001E7BB0" w:rsidRPr="004E39E1">
        <w:rPr>
          <w:rFonts w:ascii="Arial" w:hAnsi="Arial" w:cs="Arial"/>
          <w:sz w:val="18"/>
          <w:szCs w:val="18"/>
        </w:rPr>
        <w:t xml:space="preserve">del </w:t>
      </w:r>
      <w:r w:rsidR="00B35889" w:rsidRPr="004E39E1">
        <w:rPr>
          <w:rFonts w:ascii="Arial" w:hAnsi="Arial" w:cs="Arial"/>
          <w:sz w:val="18"/>
          <w:szCs w:val="18"/>
        </w:rPr>
        <w:t>Tribunal Electoral del Poder Judicial de la Federación</w:t>
      </w:r>
      <w:r w:rsidRPr="004E39E1">
        <w:rPr>
          <w:rFonts w:ascii="Arial" w:hAnsi="Arial" w:cs="Arial"/>
          <w:sz w:val="18"/>
          <w:lang w:val="es-MX"/>
        </w:rPr>
        <w:t>, al que se le otorgan las atribuciones precisadas en el presente acuerdo general, sin perjuicio de que la Comisión las ejerza de manera directa en cualquier momento.</w:t>
      </w:r>
      <w:r w:rsidR="006419F9" w:rsidRPr="004E39E1">
        <w:rPr>
          <w:rFonts w:ascii="Arial" w:hAnsi="Arial" w:cs="Arial"/>
          <w:sz w:val="18"/>
          <w:lang w:val="es-MX"/>
        </w:rPr>
        <w:t xml:space="preserve"> </w:t>
      </w:r>
      <w:r w:rsidR="006419F9" w:rsidRPr="004E39E1">
        <w:rPr>
          <w:rFonts w:ascii="Arial" w:hAnsi="Arial" w:cs="Arial"/>
          <w:sz w:val="16"/>
          <w:szCs w:val="16"/>
        </w:rPr>
        <w:t>[Modificado medi</w:t>
      </w:r>
      <w:r w:rsidR="00A00141" w:rsidRPr="004E39E1">
        <w:rPr>
          <w:rFonts w:ascii="Arial" w:hAnsi="Arial" w:cs="Arial"/>
          <w:sz w:val="16"/>
          <w:szCs w:val="16"/>
        </w:rPr>
        <w:t>ante Acuerdo de fecha 21-05-08</w:t>
      </w:r>
      <w:r w:rsidR="006419F9" w:rsidRPr="004E39E1">
        <w:rPr>
          <w:rFonts w:ascii="Arial" w:hAnsi="Arial" w:cs="Arial"/>
          <w:sz w:val="16"/>
          <w:szCs w:val="16"/>
        </w:rPr>
        <w:t>]</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 6. DE SU INTEGRACIÓN.</w:t>
      </w:r>
      <w:r w:rsidRPr="004E39E1">
        <w:rPr>
          <w:rFonts w:ascii="Arial" w:hAnsi="Arial" w:cs="Arial"/>
          <w:sz w:val="18"/>
          <w:lang w:val="es-MX"/>
        </w:rPr>
        <w:t xml:space="preserve"> El Comité estará integrado en los siguientes términos:</w:t>
      </w:r>
    </w:p>
    <w:p w:rsidR="0006407B" w:rsidRPr="004E39E1" w:rsidRDefault="0006407B">
      <w:pPr>
        <w:spacing w:before="100" w:beforeAutospacing="1" w:after="100" w:afterAutospacing="1"/>
        <w:ind w:left="851"/>
        <w:jc w:val="both"/>
        <w:rPr>
          <w:rFonts w:ascii="Arial" w:hAnsi="Arial" w:cs="Arial"/>
          <w:sz w:val="18"/>
          <w:lang w:val="es-MX"/>
        </w:rPr>
      </w:pPr>
      <w:r w:rsidRPr="004E39E1">
        <w:rPr>
          <w:rFonts w:ascii="Arial" w:hAnsi="Arial" w:cs="Arial"/>
          <w:b/>
          <w:sz w:val="18"/>
          <w:lang w:val="es-MX"/>
        </w:rPr>
        <w:t>Presidente</w:t>
      </w:r>
      <w:r w:rsidRPr="004E39E1">
        <w:rPr>
          <w:rFonts w:ascii="Arial" w:hAnsi="Arial" w:cs="Arial"/>
          <w:sz w:val="18"/>
          <w:lang w:val="es-MX"/>
        </w:rPr>
        <w:t>: El Secretario Administrativo.</w:t>
      </w:r>
    </w:p>
    <w:p w:rsidR="0006407B" w:rsidRPr="004E39E1" w:rsidRDefault="0006407B" w:rsidP="00C21D98">
      <w:pPr>
        <w:pStyle w:val="Texto"/>
        <w:spacing w:line="230" w:lineRule="exact"/>
        <w:ind w:left="851" w:firstLine="0"/>
        <w:rPr>
          <w:b/>
          <w:szCs w:val="18"/>
        </w:rPr>
      </w:pPr>
      <w:r w:rsidRPr="004E39E1">
        <w:rPr>
          <w:b/>
        </w:rPr>
        <w:t>Vocales</w:t>
      </w:r>
      <w:r w:rsidRPr="004E39E1">
        <w:t xml:space="preserve">: </w:t>
      </w:r>
      <w:r w:rsidR="00C21D98" w:rsidRPr="004E39E1">
        <w:rPr>
          <w:szCs w:val="18"/>
        </w:rPr>
        <w:t>El Coordinador Financiero y el Coordinador de Asuntos Jurídicos</w:t>
      </w:r>
      <w:r w:rsidR="006419F9" w:rsidRPr="004E39E1">
        <w:rPr>
          <w:szCs w:val="18"/>
        </w:rPr>
        <w:t>.</w:t>
      </w:r>
      <w:r w:rsidR="006419F9" w:rsidRPr="004E39E1">
        <w:rPr>
          <w:sz w:val="16"/>
          <w:szCs w:val="16"/>
        </w:rPr>
        <w:t xml:space="preserve"> [Modificado mediante Acuerdo de</w:t>
      </w:r>
      <w:r w:rsidR="001E7BB0" w:rsidRPr="004E39E1">
        <w:rPr>
          <w:sz w:val="16"/>
          <w:szCs w:val="16"/>
        </w:rPr>
        <w:t xml:space="preserve"> de la Comisión de Administración</w:t>
      </w:r>
      <w:r w:rsidR="008150E4" w:rsidRPr="004E39E1">
        <w:rPr>
          <w:sz w:val="16"/>
          <w:szCs w:val="16"/>
        </w:rPr>
        <w:t xml:space="preserve"> fecha 21-05-08</w:t>
      </w:r>
      <w:r w:rsidR="006419F9" w:rsidRPr="004E39E1">
        <w:rPr>
          <w:sz w:val="16"/>
          <w:szCs w:val="16"/>
        </w:rPr>
        <w:t>]</w:t>
      </w:r>
    </w:p>
    <w:p w:rsidR="0006407B" w:rsidRPr="004E39E1" w:rsidRDefault="0006407B">
      <w:pPr>
        <w:spacing w:before="100" w:beforeAutospacing="1" w:after="100" w:afterAutospacing="1"/>
        <w:ind w:left="851"/>
        <w:jc w:val="both"/>
        <w:rPr>
          <w:rFonts w:ascii="Arial" w:hAnsi="Arial" w:cs="Arial"/>
          <w:sz w:val="18"/>
          <w:lang w:val="es-MX"/>
        </w:rPr>
      </w:pPr>
      <w:r w:rsidRPr="004E39E1">
        <w:rPr>
          <w:rFonts w:ascii="Arial" w:hAnsi="Arial" w:cs="Arial"/>
          <w:b/>
          <w:sz w:val="18"/>
          <w:lang w:val="es-MX"/>
        </w:rPr>
        <w:t>Secretario</w:t>
      </w:r>
      <w:r w:rsidRPr="004E39E1">
        <w:rPr>
          <w:rFonts w:ascii="Arial" w:hAnsi="Arial" w:cs="Arial"/>
          <w:sz w:val="18"/>
          <w:lang w:val="es-MX"/>
        </w:rPr>
        <w:t>: El Coordinador Administrativo, que auxiliará al Comité en lo administrativo.</w:t>
      </w:r>
    </w:p>
    <w:p w:rsidR="0006407B" w:rsidRPr="004E39E1" w:rsidRDefault="0006407B">
      <w:pPr>
        <w:spacing w:before="100" w:beforeAutospacing="1" w:after="100" w:afterAutospacing="1"/>
        <w:ind w:left="851"/>
        <w:jc w:val="both"/>
        <w:rPr>
          <w:rFonts w:ascii="Arial" w:hAnsi="Arial" w:cs="Arial"/>
          <w:sz w:val="18"/>
        </w:rPr>
      </w:pPr>
      <w:r w:rsidRPr="004E39E1">
        <w:rPr>
          <w:rFonts w:ascii="Arial" w:hAnsi="Arial" w:cs="Arial"/>
          <w:b/>
          <w:sz w:val="18"/>
          <w:lang w:val="es-MX"/>
        </w:rPr>
        <w:t>Contralor</w:t>
      </w:r>
      <w:r w:rsidRPr="004E39E1">
        <w:rPr>
          <w:rFonts w:ascii="Arial" w:hAnsi="Arial" w:cs="Arial"/>
          <w:sz w:val="18"/>
        </w:rPr>
        <w:t>: El Contralor Interno del Tribunal Electoral, con carácter permanente.</w:t>
      </w:r>
    </w:p>
    <w:p w:rsidR="0006407B" w:rsidRPr="004E39E1" w:rsidRDefault="0006407B">
      <w:pPr>
        <w:spacing w:before="100" w:beforeAutospacing="1" w:after="100" w:afterAutospacing="1"/>
        <w:ind w:left="851"/>
        <w:jc w:val="both"/>
        <w:rPr>
          <w:rFonts w:ascii="Arial" w:hAnsi="Arial" w:cs="Arial"/>
          <w:sz w:val="18"/>
        </w:rPr>
      </w:pPr>
      <w:r w:rsidRPr="004E39E1">
        <w:rPr>
          <w:rFonts w:ascii="Arial" w:hAnsi="Arial" w:cs="Arial"/>
          <w:b/>
          <w:sz w:val="18"/>
        </w:rPr>
        <w:t>Asesores</w:t>
      </w:r>
      <w:r w:rsidRPr="004E39E1">
        <w:rPr>
          <w:rFonts w:ascii="Arial" w:hAnsi="Arial" w:cs="Arial"/>
          <w:sz w:val="18"/>
        </w:rPr>
        <w:t>: Los servidores públicos que presten asesoría al Comité en el ámbito de su competencia o en la profesión u oficio que desempeñen, según sea el caso. Los asesores no deberán firmar ningún documento que contenga cualquier decisión inherente a las funciones de dicho Comité, por lo que únicamente suscribirán las actas de cada sesión como constancia de su participación.</w:t>
      </w:r>
    </w:p>
    <w:p w:rsidR="0006407B" w:rsidRPr="004E39E1" w:rsidRDefault="0006407B">
      <w:pPr>
        <w:spacing w:before="100" w:beforeAutospacing="1" w:after="100" w:afterAutospacing="1"/>
        <w:ind w:firstLine="900"/>
        <w:jc w:val="both"/>
        <w:rPr>
          <w:rFonts w:ascii="Arial" w:hAnsi="Arial" w:cs="Arial"/>
          <w:sz w:val="18"/>
          <w:lang w:val="es-MX"/>
        </w:rPr>
      </w:pPr>
      <w:r w:rsidRPr="004E39E1">
        <w:rPr>
          <w:rFonts w:ascii="Arial" w:hAnsi="Arial" w:cs="Arial"/>
          <w:sz w:val="18"/>
          <w:lang w:val="es-MX"/>
        </w:rPr>
        <w:t>Solo el Presidente y los Vocales tendrán derecho a voz y voto durante las sesiones.</w:t>
      </w:r>
    </w:p>
    <w:p w:rsidR="0006407B" w:rsidRPr="004E39E1" w:rsidRDefault="0006407B">
      <w:pPr>
        <w:pStyle w:val="Textoindependiente"/>
        <w:spacing w:before="100" w:beforeAutospacing="1" w:after="100" w:afterAutospacing="1"/>
        <w:ind w:right="-340" w:firstLine="900"/>
        <w:rPr>
          <w:rFonts w:ascii="Arial" w:hAnsi="Arial" w:cs="Arial"/>
          <w:sz w:val="18"/>
        </w:rPr>
      </w:pPr>
      <w:r w:rsidRPr="004E39E1">
        <w:rPr>
          <w:rFonts w:ascii="Arial" w:hAnsi="Arial" w:cs="Arial"/>
          <w:sz w:val="18"/>
        </w:rPr>
        <w:t>El Contralor Interno, los Asesores y el Secretario, tendrán únicamente derecho a voz.</w:t>
      </w:r>
    </w:p>
    <w:p w:rsidR="00C21D98" w:rsidRPr="004E39E1" w:rsidRDefault="0006407B" w:rsidP="00DF4FF3">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 xml:space="preserve">Artículo 7. ATRIBUCIONES DEL COMITÉ. </w:t>
      </w:r>
      <w:r w:rsidRPr="004E39E1">
        <w:rPr>
          <w:rFonts w:ascii="Arial" w:hAnsi="Arial" w:cs="Arial"/>
          <w:sz w:val="18"/>
          <w:lang w:val="es-MX"/>
        </w:rPr>
        <w:t>El Comité tendrá las siguientes atribuciones:</w:t>
      </w:r>
    </w:p>
    <w:p w:rsidR="00C21D98" w:rsidRPr="004E39E1" w:rsidRDefault="00C21D98" w:rsidP="00C21D98">
      <w:pPr>
        <w:pStyle w:val="Texto"/>
        <w:spacing w:line="230" w:lineRule="exact"/>
        <w:ind w:left="851" w:firstLine="0"/>
        <w:rPr>
          <w:szCs w:val="18"/>
        </w:rPr>
      </w:pPr>
      <w:r w:rsidRPr="004E39E1">
        <w:rPr>
          <w:b/>
          <w:szCs w:val="18"/>
        </w:rPr>
        <w:t>A. En materia de bienes muebles:</w:t>
      </w:r>
      <w:r w:rsidR="006419F9" w:rsidRPr="004E39E1">
        <w:rPr>
          <w:sz w:val="16"/>
          <w:szCs w:val="16"/>
        </w:rPr>
        <w:t xml:space="preserve"> [Adicionado mediante Acuerdo</w:t>
      </w:r>
      <w:r w:rsidR="001E7BB0" w:rsidRPr="004E39E1">
        <w:rPr>
          <w:sz w:val="16"/>
          <w:szCs w:val="16"/>
        </w:rPr>
        <w:t xml:space="preserve"> de la Comisión de Administración</w:t>
      </w:r>
      <w:r w:rsidR="008150E4" w:rsidRPr="004E39E1">
        <w:rPr>
          <w:sz w:val="16"/>
          <w:szCs w:val="16"/>
        </w:rPr>
        <w:t xml:space="preserve"> de fecha 21-05-08</w:t>
      </w:r>
      <w:r w:rsidR="006419F9" w:rsidRPr="004E39E1">
        <w:rPr>
          <w:sz w:val="16"/>
          <w:szCs w:val="16"/>
        </w:rPr>
        <w:t>]</w:t>
      </w:r>
    </w:p>
    <w:p w:rsidR="0006407B" w:rsidRPr="004E39E1" w:rsidRDefault="0006407B" w:rsidP="0006407B">
      <w:pPr>
        <w:numPr>
          <w:ilvl w:val="0"/>
          <w:numId w:val="4"/>
        </w:numPr>
        <w:spacing w:before="100" w:beforeAutospacing="1" w:after="100" w:afterAutospacing="1"/>
        <w:jc w:val="both"/>
        <w:rPr>
          <w:rFonts w:ascii="Arial" w:hAnsi="Arial" w:cs="Arial"/>
          <w:sz w:val="18"/>
          <w:u w:val="single"/>
          <w:lang w:val="es-MX"/>
        </w:rPr>
      </w:pPr>
      <w:r w:rsidRPr="004E39E1">
        <w:rPr>
          <w:rFonts w:ascii="Arial" w:hAnsi="Arial" w:cs="Arial"/>
          <w:sz w:val="18"/>
          <w:lang w:val="es-MX"/>
        </w:rPr>
        <w:t xml:space="preserve">Autorizar las solicitudes de desincorporación de bienes y su destino final, presentadas a su consideración; </w:t>
      </w:r>
    </w:p>
    <w:p w:rsidR="00F64ED6" w:rsidRPr="004E39E1" w:rsidRDefault="00221BB1" w:rsidP="00F64ED6">
      <w:pPr>
        <w:pStyle w:val="Prrafodelista"/>
        <w:numPr>
          <w:ilvl w:val="0"/>
          <w:numId w:val="4"/>
        </w:numPr>
        <w:rPr>
          <w:rFonts w:ascii="Arial" w:hAnsi="Arial" w:cs="Arial"/>
          <w:sz w:val="18"/>
          <w:szCs w:val="18"/>
        </w:rPr>
      </w:pPr>
      <w:r w:rsidRPr="004E39E1">
        <w:rPr>
          <w:rFonts w:ascii="Arial" w:hAnsi="Arial" w:cs="Arial"/>
          <w:b/>
          <w:sz w:val="18"/>
          <w:szCs w:val="18"/>
        </w:rPr>
        <w:t>Autorizar la desincorporación y determinar el destino final de las publicaciones que edite el Tribunal Electoral;</w:t>
      </w:r>
      <w:r w:rsidR="00F64ED6" w:rsidRPr="004E39E1">
        <w:rPr>
          <w:rFonts w:ascii="Arial" w:hAnsi="Arial" w:cs="Arial"/>
          <w:b/>
          <w:sz w:val="18"/>
          <w:szCs w:val="18"/>
        </w:rPr>
        <w:t xml:space="preserve"> </w:t>
      </w:r>
      <w:r w:rsidR="00F64ED6" w:rsidRPr="004E39E1">
        <w:rPr>
          <w:rFonts w:ascii="Arial" w:hAnsi="Arial" w:cs="Arial"/>
          <w:sz w:val="18"/>
          <w:szCs w:val="18"/>
        </w:rPr>
        <w:t>[Adicionado mediante Acuerdo 367/S12(9-XII-2014)]</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Aprobar los modelos de convocatorias, bases, contratos, dictámenes y demás documentos relacionados, así como mantenerlos debidamente actualizados;</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Autorizar los procedimientos para la enajenación de bienes a desincorporar;</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 xml:space="preserve">Determinar a la persona física o moral a quien se le adjudicarán los bienes desincorporados, una vez efectuado el análisis del informe ejecutivo presentado por Recursos Materiales; </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Establecer criterios para que el Tribunal Electoral obtenga las mejores condiciones en los procedimientos de desincorporación que lleve a cabo;</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 xml:space="preserve">Dictaminar si procede o no la celebración de licitaciones públicas o invitaciones restringidas a cuando menos tres personas, y en caso de excepción, cuando sean </w:t>
      </w:r>
      <w:r w:rsidRPr="004E39E1">
        <w:rPr>
          <w:rFonts w:ascii="Arial" w:hAnsi="Arial" w:cs="Arial"/>
          <w:sz w:val="18"/>
          <w:lang w:val="es-MX"/>
        </w:rPr>
        <w:lastRenderedPageBreak/>
        <w:t>urgentes y derivados de caso fortuito o fuerza mayor, determinando las medidas para su solución;</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Informar a la conclusión del procedimiento de desincorporación, a la Comisión, los resultados obtenidos, y semestralmente de las actividades realizadas; y</w:t>
      </w:r>
    </w:p>
    <w:p w:rsidR="0006407B" w:rsidRPr="004E39E1" w:rsidRDefault="0006407B" w:rsidP="0006407B">
      <w:pPr>
        <w:numPr>
          <w:ilvl w:val="0"/>
          <w:numId w:val="4"/>
        </w:numPr>
        <w:spacing w:before="100" w:beforeAutospacing="1" w:after="100" w:afterAutospacing="1"/>
        <w:jc w:val="both"/>
        <w:rPr>
          <w:rFonts w:ascii="Arial" w:hAnsi="Arial" w:cs="Arial"/>
          <w:sz w:val="18"/>
          <w:lang w:val="es-MX"/>
        </w:rPr>
      </w:pPr>
      <w:r w:rsidRPr="004E39E1">
        <w:rPr>
          <w:rFonts w:ascii="Arial" w:hAnsi="Arial" w:cs="Arial"/>
          <w:sz w:val="18"/>
          <w:lang w:val="es-MX"/>
        </w:rPr>
        <w:t>Declarar desiertas las licitaciones públicas y las invitaciones restringidas a cuando menos tres personas, en los casos que señala el presente acuerdo.</w:t>
      </w:r>
    </w:p>
    <w:p w:rsidR="00DF4FF3" w:rsidRPr="004E39E1" w:rsidRDefault="00DF4FF3" w:rsidP="00DF4FF3">
      <w:pPr>
        <w:pStyle w:val="Texto"/>
        <w:spacing w:line="230" w:lineRule="exact"/>
        <w:ind w:left="1620" w:firstLine="0"/>
        <w:rPr>
          <w:b/>
          <w:szCs w:val="18"/>
        </w:rPr>
      </w:pPr>
    </w:p>
    <w:p w:rsidR="00DF4FF3" w:rsidRPr="004E39E1" w:rsidRDefault="00DF4FF3" w:rsidP="00DF4FF3">
      <w:pPr>
        <w:pStyle w:val="Texto"/>
        <w:spacing w:line="230" w:lineRule="exact"/>
        <w:ind w:left="851" w:firstLine="0"/>
        <w:rPr>
          <w:b/>
          <w:szCs w:val="18"/>
        </w:rPr>
      </w:pPr>
      <w:r w:rsidRPr="004E39E1">
        <w:rPr>
          <w:b/>
          <w:szCs w:val="18"/>
        </w:rPr>
        <w:t>B</w:t>
      </w:r>
      <w:r w:rsidRPr="004E39E1">
        <w:rPr>
          <w:szCs w:val="18"/>
        </w:rPr>
        <w:t xml:space="preserve">. </w:t>
      </w:r>
      <w:r w:rsidRPr="004E39E1">
        <w:rPr>
          <w:b/>
          <w:szCs w:val="18"/>
        </w:rPr>
        <w:t>En materia de bienes inmuebles:</w:t>
      </w:r>
    </w:p>
    <w:p w:rsidR="00DF4FF3" w:rsidRPr="004E39E1" w:rsidRDefault="00DF4FF3" w:rsidP="00DF4FF3">
      <w:pPr>
        <w:pStyle w:val="Texto"/>
        <w:spacing w:line="230" w:lineRule="exact"/>
        <w:ind w:left="1701" w:hanging="850"/>
        <w:rPr>
          <w:szCs w:val="18"/>
        </w:rPr>
      </w:pPr>
      <w:r w:rsidRPr="004E39E1">
        <w:rPr>
          <w:b/>
          <w:szCs w:val="18"/>
        </w:rPr>
        <w:t>I.</w:t>
      </w:r>
      <w:r w:rsidRPr="004E39E1">
        <w:rPr>
          <w:szCs w:val="18"/>
        </w:rPr>
        <w:t xml:space="preserve"> </w:t>
      </w:r>
      <w:r w:rsidRPr="004E39E1">
        <w:rPr>
          <w:szCs w:val="18"/>
        </w:rPr>
        <w:tab/>
        <w:t>Valorar las propuestas presentadas a su consideración para la desincorporación de bienes inmuebles patrimonio del Tribunal Electoral;</w:t>
      </w:r>
    </w:p>
    <w:p w:rsidR="00DF4FF3" w:rsidRPr="004E39E1" w:rsidRDefault="00DF4FF3" w:rsidP="00DF4FF3">
      <w:pPr>
        <w:pStyle w:val="Texto"/>
        <w:spacing w:line="230" w:lineRule="exact"/>
        <w:ind w:left="1701" w:hanging="850"/>
        <w:rPr>
          <w:szCs w:val="18"/>
        </w:rPr>
      </w:pPr>
      <w:r w:rsidRPr="004E39E1">
        <w:rPr>
          <w:b/>
          <w:szCs w:val="18"/>
        </w:rPr>
        <w:t>II</w:t>
      </w:r>
      <w:r w:rsidRPr="004E39E1">
        <w:rPr>
          <w:szCs w:val="18"/>
        </w:rPr>
        <w:t>.</w:t>
      </w:r>
      <w:r w:rsidRPr="004E39E1">
        <w:rPr>
          <w:szCs w:val="18"/>
        </w:rPr>
        <w:tab/>
        <w:t xml:space="preserve">Revisar y presentar a </w:t>
      </w:r>
      <w:smartTag w:uri="urn:schemas-microsoft-com:office:smarttags" w:element="PersonName">
        <w:smartTagPr>
          <w:attr w:name="ProductID" w:val="la Comisi￳n"/>
        </w:smartTagPr>
        <w:r w:rsidRPr="004E39E1">
          <w:rPr>
            <w:szCs w:val="18"/>
          </w:rPr>
          <w:t>la Comisión</w:t>
        </w:r>
      </w:smartTag>
      <w:r w:rsidRPr="004E39E1">
        <w:rPr>
          <w:szCs w:val="18"/>
        </w:rPr>
        <w:t>, las solicitudes de desincorporación de bienes inmuebles, así como las propuestas de enajenación para su análisis y, en su caso, aprobación;</w:t>
      </w:r>
    </w:p>
    <w:p w:rsidR="00DF4FF3" w:rsidRPr="004E39E1" w:rsidRDefault="00DF4FF3" w:rsidP="00DF4FF3">
      <w:pPr>
        <w:pStyle w:val="Texto"/>
        <w:numPr>
          <w:ilvl w:val="0"/>
          <w:numId w:val="29"/>
        </w:numPr>
        <w:tabs>
          <w:tab w:val="clear" w:pos="1620"/>
          <w:tab w:val="num" w:pos="1701"/>
        </w:tabs>
        <w:spacing w:line="230" w:lineRule="exact"/>
        <w:ind w:left="1701" w:hanging="801"/>
        <w:rPr>
          <w:szCs w:val="18"/>
        </w:rPr>
      </w:pPr>
      <w:r w:rsidRPr="004E39E1">
        <w:rPr>
          <w:szCs w:val="18"/>
        </w:rPr>
        <w:t>Dar inicio y seguimiento a los procedimientos para la enajenación de los inmuebles desincorporados del patrimonio del Tribunal Electoral; y</w:t>
      </w:r>
    </w:p>
    <w:p w:rsidR="00ED6A26" w:rsidRPr="004E39E1" w:rsidRDefault="00DF4FF3" w:rsidP="004F3C7D">
      <w:pPr>
        <w:pStyle w:val="Texto"/>
        <w:spacing w:line="230" w:lineRule="exact"/>
        <w:ind w:left="1701" w:hanging="850"/>
        <w:rPr>
          <w:szCs w:val="18"/>
        </w:rPr>
      </w:pPr>
      <w:r w:rsidRPr="004E39E1">
        <w:rPr>
          <w:b/>
          <w:szCs w:val="18"/>
        </w:rPr>
        <w:t>IV.</w:t>
      </w:r>
      <w:r w:rsidRPr="004E39E1">
        <w:rPr>
          <w:szCs w:val="18"/>
        </w:rPr>
        <w:t xml:space="preserve"> </w:t>
      </w:r>
      <w:r w:rsidRPr="004E39E1">
        <w:rPr>
          <w:szCs w:val="18"/>
        </w:rPr>
        <w:tab/>
        <w:t>Establecer criterios para que el Tribunal Electoral obtenga las mejores condiciones en los procedimientos de desincorporación de bienes inmuebles que lleve a cabo</w:t>
      </w:r>
      <w:r w:rsidRPr="004E39E1">
        <w:rPr>
          <w:b/>
          <w:szCs w:val="18"/>
        </w:rPr>
        <w:t>.</w:t>
      </w:r>
      <w:r w:rsidR="00ED6A26" w:rsidRPr="004E39E1">
        <w:rPr>
          <w:b/>
          <w:szCs w:val="18"/>
        </w:rPr>
        <w:t xml:space="preserve"> </w:t>
      </w:r>
      <w:r w:rsidR="00ED6A26" w:rsidRPr="004E39E1">
        <w:rPr>
          <w:sz w:val="16"/>
          <w:szCs w:val="16"/>
        </w:rPr>
        <w:t>[Adicionado mediante Acuerdo de</w:t>
      </w:r>
      <w:r w:rsidR="001E7BB0" w:rsidRPr="004E39E1">
        <w:rPr>
          <w:sz w:val="16"/>
          <w:szCs w:val="16"/>
        </w:rPr>
        <w:t xml:space="preserve"> de la Comisión de Administración</w:t>
      </w:r>
      <w:r w:rsidR="00A00141" w:rsidRPr="004E39E1">
        <w:rPr>
          <w:sz w:val="16"/>
          <w:szCs w:val="16"/>
        </w:rPr>
        <w:t xml:space="preserve"> fecha 21-05-08</w:t>
      </w:r>
      <w:r w:rsidR="00ED6A26" w:rsidRPr="004E39E1">
        <w:rPr>
          <w:sz w:val="16"/>
          <w:szCs w:val="16"/>
        </w:rPr>
        <w:t>]</w:t>
      </w:r>
    </w:p>
    <w:p w:rsidR="00DF4FF3" w:rsidRPr="004E39E1" w:rsidRDefault="00DF4FF3" w:rsidP="001E7BB0">
      <w:pPr>
        <w:spacing w:before="100" w:beforeAutospacing="1" w:after="100" w:afterAutospacing="1"/>
        <w:jc w:val="both"/>
        <w:rPr>
          <w:rFonts w:ascii="Arial" w:hAnsi="Arial" w:cs="Arial"/>
          <w:sz w:val="18"/>
          <w:lang w:val="es-MX"/>
        </w:rPr>
      </w:pP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w:t>
      </w:r>
      <w:r w:rsidRPr="004E39E1">
        <w:rPr>
          <w:rFonts w:ascii="Arial" w:hAnsi="Arial" w:cs="Arial"/>
          <w:sz w:val="18"/>
          <w:lang w:val="es-MX"/>
        </w:rPr>
        <w:t xml:space="preserve"> </w:t>
      </w:r>
      <w:r w:rsidRPr="004E39E1">
        <w:rPr>
          <w:rFonts w:ascii="Arial" w:hAnsi="Arial" w:cs="Arial"/>
          <w:b/>
          <w:bCs/>
          <w:sz w:val="18"/>
          <w:lang w:val="es-MX"/>
        </w:rPr>
        <w:t>8.</w:t>
      </w:r>
      <w:r w:rsidRPr="004E39E1">
        <w:rPr>
          <w:rFonts w:ascii="Arial" w:hAnsi="Arial" w:cs="Arial"/>
          <w:sz w:val="18"/>
          <w:lang w:val="es-MX"/>
        </w:rPr>
        <w:t xml:space="preserve"> </w:t>
      </w:r>
      <w:r w:rsidRPr="004E39E1">
        <w:rPr>
          <w:rFonts w:ascii="Arial" w:hAnsi="Arial" w:cs="Arial"/>
          <w:b/>
          <w:sz w:val="18"/>
          <w:lang w:val="es-MX"/>
        </w:rPr>
        <w:t>FUNCIONES DEL PRESIDENTE.</w:t>
      </w:r>
      <w:r w:rsidRPr="004E39E1">
        <w:rPr>
          <w:rFonts w:ascii="Arial" w:hAnsi="Arial" w:cs="Arial"/>
          <w:sz w:val="18"/>
          <w:lang w:val="es-MX"/>
        </w:rPr>
        <w:t xml:space="preserve"> El Presidente del Comité tendrá las siguientes funciones:</w:t>
      </w:r>
    </w:p>
    <w:p w:rsidR="0006407B" w:rsidRPr="004E39E1" w:rsidRDefault="0006407B" w:rsidP="0006407B">
      <w:pPr>
        <w:numPr>
          <w:ilvl w:val="0"/>
          <w:numId w:val="8"/>
        </w:numPr>
        <w:spacing w:before="100" w:beforeAutospacing="1" w:after="100" w:afterAutospacing="1"/>
        <w:jc w:val="both"/>
        <w:rPr>
          <w:rFonts w:ascii="Arial" w:hAnsi="Arial" w:cs="Arial"/>
          <w:sz w:val="18"/>
          <w:lang w:val="es-MX"/>
        </w:rPr>
      </w:pPr>
      <w:r w:rsidRPr="004E39E1">
        <w:rPr>
          <w:rFonts w:ascii="Arial" w:hAnsi="Arial" w:cs="Arial"/>
          <w:sz w:val="18"/>
          <w:lang w:val="es-MX"/>
        </w:rPr>
        <w:t>Dirigir y moderar los debates durante las sesiones, así como emitir su voto respecto de los asuntos sometidos a consideración del Comité;</w:t>
      </w:r>
    </w:p>
    <w:p w:rsidR="0006407B" w:rsidRPr="004E39E1" w:rsidRDefault="0006407B" w:rsidP="0006407B">
      <w:pPr>
        <w:numPr>
          <w:ilvl w:val="0"/>
          <w:numId w:val="8"/>
        </w:numPr>
        <w:spacing w:before="100" w:beforeAutospacing="1" w:after="100" w:afterAutospacing="1"/>
        <w:jc w:val="both"/>
        <w:rPr>
          <w:rFonts w:ascii="Arial" w:hAnsi="Arial" w:cs="Arial"/>
          <w:sz w:val="18"/>
          <w:lang w:val="es-MX"/>
        </w:rPr>
      </w:pPr>
      <w:r w:rsidRPr="004E39E1">
        <w:rPr>
          <w:rFonts w:ascii="Arial" w:hAnsi="Arial" w:cs="Arial"/>
          <w:sz w:val="18"/>
          <w:lang w:val="es-MX"/>
        </w:rPr>
        <w:t>Designar al responsable de presidir los actos durante el desarrollo de licitaciones públicas o de invitaciones restringidas a cuando menos tres personas;</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Requerir a las diversas áreas del Tribunal Electoral las aclaraciones de carácter técnico y/o administrativo respecto de asuntos que sean competencia del Comité y citar a sus titulares para que concurran a las sesiones correspondientes con el carácter de asesores;</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Representar al Comité en el desahogo de asuntos de su competencia;</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Autorizar el orden del día de las reuniones a celebrar;</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Vigilar el correcto funcionamiento del Comité;</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Observar y cumplir las disposiciones establecidas en la Ley, el presente acuerdo general y demás ordenamientos aplicables de la materia, atendiendo las obligaciones contenidas en el artículo 8 de la Ley Federal de Responsabilidades Administrativas de los Servidores Públicos; y</w:t>
      </w:r>
    </w:p>
    <w:p w:rsidR="0006407B" w:rsidRPr="004E39E1" w:rsidRDefault="0006407B" w:rsidP="0006407B">
      <w:pPr>
        <w:numPr>
          <w:ilvl w:val="0"/>
          <w:numId w:val="8"/>
        </w:numPr>
        <w:spacing w:before="100" w:beforeAutospacing="1" w:after="100" w:afterAutospacing="1"/>
        <w:jc w:val="both"/>
        <w:rPr>
          <w:rFonts w:ascii="Arial" w:hAnsi="Arial" w:cs="Arial"/>
          <w:sz w:val="18"/>
        </w:rPr>
      </w:pPr>
      <w:r w:rsidRPr="004E39E1">
        <w:rPr>
          <w:rFonts w:ascii="Arial" w:hAnsi="Arial" w:cs="Arial"/>
          <w:sz w:val="18"/>
        </w:rPr>
        <w:t>Las demás funciones que le sean encomendadas por la Comisión.</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bCs/>
          <w:sz w:val="18"/>
        </w:rPr>
        <w:t>9</w:t>
      </w:r>
      <w:r w:rsidRPr="004E39E1">
        <w:rPr>
          <w:rFonts w:ascii="Arial" w:hAnsi="Arial" w:cs="Arial"/>
          <w:b/>
          <w:sz w:val="18"/>
        </w:rPr>
        <w:t>. FUNCIONES DE LOS VOCALES.</w:t>
      </w:r>
      <w:r w:rsidRPr="004E39E1">
        <w:rPr>
          <w:rFonts w:ascii="Arial" w:hAnsi="Arial" w:cs="Arial"/>
          <w:sz w:val="18"/>
        </w:rPr>
        <w:t xml:space="preserve"> Los Vocales tendrán las siguientes funciones:</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Asistir a las reuniones que convoque el Comité;</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Analizar el orden del día y los documentos de los asuntos a tratar;</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lastRenderedPageBreak/>
        <w:t>Dar su opinión y emitir su voto respecto de los asuntos puestos a consideración del Comité en la sesión;</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Remitir al Secretario, antes de la sesión, los documentos de los asuntos a tratar en el seno del Comité;</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Verificar que el desarrollo de las sesiones del Comité se realicen de acuerdo con la orden del día;</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Observar y cumplir las disposiciones establecidas en la Ley, el presente acuerdo general y demás ordenamientos aplicables de la materia, atendiendo las obligaciones contenidas en el artículo 8 de la Ley Federal de Responsabilidades Administrativas de los Servidores Públicos; y</w:t>
      </w:r>
    </w:p>
    <w:p w:rsidR="0006407B" w:rsidRPr="004E39E1" w:rsidRDefault="0006407B" w:rsidP="0006407B">
      <w:pPr>
        <w:numPr>
          <w:ilvl w:val="0"/>
          <w:numId w:val="9"/>
        </w:numPr>
        <w:spacing w:before="100" w:beforeAutospacing="1" w:after="100" w:afterAutospacing="1"/>
        <w:jc w:val="both"/>
        <w:rPr>
          <w:rFonts w:ascii="Arial" w:hAnsi="Arial" w:cs="Arial"/>
          <w:sz w:val="18"/>
        </w:rPr>
      </w:pPr>
      <w:r w:rsidRPr="004E39E1">
        <w:rPr>
          <w:rFonts w:ascii="Arial" w:hAnsi="Arial" w:cs="Arial"/>
          <w:sz w:val="18"/>
        </w:rPr>
        <w:t xml:space="preserve">Las demás funciones que les sean encomendadas por la Comisión o el Comité. </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sz w:val="18"/>
        </w:rPr>
        <w:t>10. FUNCIONES DEL SECRETARIO.</w:t>
      </w:r>
      <w:r w:rsidRPr="004E39E1">
        <w:rPr>
          <w:rFonts w:ascii="Arial" w:hAnsi="Arial" w:cs="Arial"/>
          <w:sz w:val="18"/>
        </w:rPr>
        <w:t xml:space="preserve"> El Comité se auxiliará en lo administrativo con un Secretario, que será el Coordinador Administrativo, quien se encargara de lo siguiente:</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Convocar a las reuniones del Comité;</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Preparar y presentar el orden del día de la sesión, junto con los documentos necesarios y los apoyos que se requieran para tratar los asuntos, de lo cual remitirá copia a cada integrante del Comité;</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Pasar lista de asistencia para determinar si existe quórum en la sesión a celebrarse;</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Suscribir los oficios cuya expedición haya acordado el Comité;</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Elaborar las actas de las sesiones para aprobación del Comité e integrarlas en el expediente respectivo;</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Certificar las copias de las actas que se generen con motivo de las sesiones, así como los demás documentos que obren en los archivos del Comité, cuando proceda su expedición;</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Cuidar que se registren los acuerdos del Comité, vigilar que se cumplan y otorgar seguimiento al proceso de desahogo y cumplimiento de los acuerdos adoptados por el Comité;</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Vigilar que el archivo de los documentos analizados por el Comité esté completo y se mantenga actualizado, cuidando su conservación por el tiempo mínimo que marca la Ley;</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Vigilar que cada asunto aprobado por el Comité esté respaldado con la firma de los miembros asistentes a la sesión celebrada;</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Observar y cumplir las disposiciones establecidas en la Ley, el presente acuerdo general y demás ordenamientos aplicables de la materia, atendiendo las obligaciones contenidas en el artículo 8 de la Ley Federal de Responsabilidades Administrativas de los Servidores Públicos;</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Recabar la firma de los asistentes a cada sesión; así como conservar los documentos que suscriban; y</w:t>
      </w:r>
    </w:p>
    <w:p w:rsidR="0006407B" w:rsidRPr="004E39E1" w:rsidRDefault="0006407B" w:rsidP="0006407B">
      <w:pPr>
        <w:numPr>
          <w:ilvl w:val="0"/>
          <w:numId w:val="10"/>
        </w:numPr>
        <w:spacing w:before="100" w:beforeAutospacing="1" w:after="100" w:afterAutospacing="1"/>
        <w:jc w:val="both"/>
        <w:rPr>
          <w:rFonts w:ascii="Arial" w:hAnsi="Arial" w:cs="Arial"/>
          <w:sz w:val="18"/>
        </w:rPr>
      </w:pPr>
      <w:r w:rsidRPr="004E39E1">
        <w:rPr>
          <w:rFonts w:ascii="Arial" w:hAnsi="Arial" w:cs="Arial"/>
          <w:sz w:val="18"/>
        </w:rPr>
        <w:t>Las demás que le encomiende la Comisión o el Presidente del Comité y las derivadas de los acuerdos que expida este último.</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Artículo 11. DE LA INTERVENCIÓN DEL CONTRALOR.</w:t>
      </w:r>
      <w:r w:rsidRPr="004E39E1">
        <w:rPr>
          <w:rFonts w:ascii="Arial" w:hAnsi="Arial" w:cs="Arial"/>
          <w:sz w:val="18"/>
        </w:rPr>
        <w:t xml:space="preserve"> El Contralor Interno intervendrá con carácter permanente en el Comité, de la siguiente manera:</w:t>
      </w:r>
    </w:p>
    <w:p w:rsidR="0006407B" w:rsidRPr="004E39E1" w:rsidRDefault="0006407B" w:rsidP="0006407B">
      <w:pPr>
        <w:numPr>
          <w:ilvl w:val="0"/>
          <w:numId w:val="11"/>
        </w:numPr>
        <w:spacing w:before="100" w:beforeAutospacing="1" w:after="100" w:afterAutospacing="1"/>
        <w:jc w:val="both"/>
        <w:rPr>
          <w:rFonts w:ascii="Arial" w:hAnsi="Arial" w:cs="Arial"/>
          <w:sz w:val="18"/>
        </w:rPr>
      </w:pPr>
      <w:r w:rsidRPr="004E39E1">
        <w:rPr>
          <w:rFonts w:ascii="Arial" w:hAnsi="Arial" w:cs="Arial"/>
          <w:sz w:val="18"/>
        </w:rPr>
        <w:t>Asistir a las reuniones del Comité con derecho a voz, pero sin voto;</w:t>
      </w:r>
    </w:p>
    <w:p w:rsidR="0006407B" w:rsidRPr="004E39E1" w:rsidRDefault="0006407B" w:rsidP="0006407B">
      <w:pPr>
        <w:numPr>
          <w:ilvl w:val="0"/>
          <w:numId w:val="11"/>
        </w:numPr>
        <w:spacing w:before="100" w:beforeAutospacing="1" w:after="100" w:afterAutospacing="1"/>
        <w:jc w:val="both"/>
        <w:rPr>
          <w:rFonts w:ascii="Arial" w:hAnsi="Arial" w:cs="Arial"/>
          <w:sz w:val="18"/>
        </w:rPr>
      </w:pPr>
      <w:r w:rsidRPr="004E39E1">
        <w:rPr>
          <w:rFonts w:ascii="Arial" w:hAnsi="Arial" w:cs="Arial"/>
          <w:sz w:val="18"/>
        </w:rPr>
        <w:t>Analizar los documentos que le sean turnados por el Comité;</w:t>
      </w:r>
    </w:p>
    <w:p w:rsidR="0006407B" w:rsidRPr="004E39E1" w:rsidRDefault="0006407B" w:rsidP="0006407B">
      <w:pPr>
        <w:numPr>
          <w:ilvl w:val="0"/>
          <w:numId w:val="11"/>
        </w:numPr>
        <w:spacing w:before="100" w:beforeAutospacing="1" w:after="100" w:afterAutospacing="1"/>
        <w:jc w:val="both"/>
        <w:rPr>
          <w:rFonts w:ascii="Arial" w:hAnsi="Arial" w:cs="Arial"/>
          <w:sz w:val="18"/>
        </w:rPr>
      </w:pPr>
      <w:r w:rsidRPr="004E39E1">
        <w:rPr>
          <w:rFonts w:ascii="Arial" w:hAnsi="Arial" w:cs="Arial"/>
          <w:sz w:val="18"/>
        </w:rPr>
        <w:t xml:space="preserve">Dar su opinión en los asuntos de su especialización; </w:t>
      </w:r>
    </w:p>
    <w:p w:rsidR="0006407B" w:rsidRPr="004E39E1" w:rsidRDefault="0006407B" w:rsidP="0006407B">
      <w:pPr>
        <w:numPr>
          <w:ilvl w:val="0"/>
          <w:numId w:val="11"/>
        </w:numPr>
        <w:spacing w:before="100" w:beforeAutospacing="1" w:after="100" w:afterAutospacing="1"/>
        <w:jc w:val="both"/>
        <w:rPr>
          <w:rFonts w:ascii="Arial" w:hAnsi="Arial" w:cs="Arial"/>
          <w:sz w:val="18"/>
        </w:rPr>
      </w:pPr>
      <w:r w:rsidRPr="004E39E1">
        <w:rPr>
          <w:rFonts w:ascii="Arial" w:hAnsi="Arial" w:cs="Arial"/>
          <w:sz w:val="18"/>
        </w:rPr>
        <w:t xml:space="preserve">Proponer alternativas de solución cuando le sean solicitadas; y </w:t>
      </w:r>
    </w:p>
    <w:p w:rsidR="0006407B" w:rsidRPr="004E39E1" w:rsidRDefault="0006407B" w:rsidP="0006407B">
      <w:pPr>
        <w:numPr>
          <w:ilvl w:val="0"/>
          <w:numId w:val="11"/>
        </w:numPr>
        <w:spacing w:before="100" w:beforeAutospacing="1" w:after="100" w:afterAutospacing="1"/>
        <w:jc w:val="both"/>
        <w:rPr>
          <w:rFonts w:ascii="Arial" w:hAnsi="Arial" w:cs="Arial"/>
          <w:sz w:val="18"/>
        </w:rPr>
      </w:pPr>
      <w:r w:rsidRPr="004E39E1">
        <w:rPr>
          <w:rFonts w:ascii="Arial" w:hAnsi="Arial" w:cs="Arial"/>
          <w:sz w:val="18"/>
        </w:rPr>
        <w:t>Vigilar el cumplimiento de los acuerdos adoptados por el Comité.</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lastRenderedPageBreak/>
        <w:t>Artículo</w:t>
      </w:r>
      <w:r w:rsidRPr="004E39E1">
        <w:rPr>
          <w:rFonts w:ascii="Arial" w:hAnsi="Arial" w:cs="Arial"/>
          <w:sz w:val="18"/>
        </w:rPr>
        <w:t xml:space="preserve"> </w:t>
      </w:r>
      <w:r w:rsidRPr="004E39E1">
        <w:rPr>
          <w:rFonts w:ascii="Arial" w:hAnsi="Arial" w:cs="Arial"/>
          <w:b/>
          <w:sz w:val="18"/>
        </w:rPr>
        <w:t>12. FUNCIONAMIENTO DEL COMITÉ.</w:t>
      </w:r>
      <w:r w:rsidRPr="004E39E1">
        <w:rPr>
          <w:rFonts w:ascii="Arial" w:hAnsi="Arial" w:cs="Arial"/>
          <w:sz w:val="18"/>
        </w:rPr>
        <w:t xml:space="preserve"> Las sesiones del Comité se celebrarán de la siguiente manera:</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Tendrán lugar siempre que sea necesario y las decisiones se tomarán por mayoría de votos; en caso de empate el Presidente del Comité tendrá voto de calidad;</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Las reuniones se llevarán a cabo con la presencia del Presidente y un Vocal, por lo menos. En ausencia del Presidente del Comité, las sesiones podrán llevarse a cabo, en casos estrictamente necesarios, presidiéndolas el Coordinador Financiero con la asistencia del otro Vocal;</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La convocatoria a la sesión se notificará a los miembros y asesores del Comité junto con el orden del día y la documentación soporte, que se les entregará, con veinticuatro horas de anticipación para la sesión;</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De cada sesión se levantará un acta con los acuerdos tomados, la cual será suscrita por los integrantes asistentes;</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Los asuntos que se sometan a la consideración del Comité, se presentarán en listados que contengan la información resumida de los casos que se dictaminen en cada sesión;</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El Comité presentará periódicamente los informes de los asuntos tratados y de los que tenga conocimiento con motivo de su ámbito</w:t>
      </w:r>
      <w:r w:rsidR="00166A4E" w:rsidRPr="004E39E1">
        <w:rPr>
          <w:rFonts w:ascii="Arial" w:hAnsi="Arial" w:cs="Arial"/>
          <w:sz w:val="18"/>
        </w:rPr>
        <w:t xml:space="preserve"> de competencia a la Comisión; e</w:t>
      </w:r>
    </w:p>
    <w:p w:rsidR="0006407B" w:rsidRPr="004E39E1" w:rsidRDefault="0006407B" w:rsidP="0006407B">
      <w:pPr>
        <w:numPr>
          <w:ilvl w:val="0"/>
          <w:numId w:val="12"/>
        </w:numPr>
        <w:spacing w:before="100" w:beforeAutospacing="1" w:after="100" w:afterAutospacing="1"/>
        <w:jc w:val="both"/>
        <w:rPr>
          <w:rFonts w:ascii="Arial" w:hAnsi="Arial" w:cs="Arial"/>
          <w:sz w:val="18"/>
        </w:rPr>
      </w:pPr>
      <w:r w:rsidRPr="004E39E1">
        <w:rPr>
          <w:rFonts w:ascii="Arial" w:hAnsi="Arial" w:cs="Arial"/>
          <w:sz w:val="18"/>
        </w:rPr>
        <w:t>Invariablemente deberá incluirse en el orden del día un apartado correspondiente al seguimiento de acuerdos emitidos en las sesiones anteriores. En el punto correspondiente a asuntos generales, podrán incluirse asuntos de carácter informativo.</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CAPÍTULO III</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PROCEDIMIENTO DE DESINCORPORACIÓN</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 13. ÓRGANO FACULTADO PARA AUTORIZAR LA DESINCORPORACIÓN.</w:t>
      </w:r>
      <w:r w:rsidRPr="004E39E1">
        <w:rPr>
          <w:rFonts w:ascii="Arial" w:hAnsi="Arial" w:cs="Arial"/>
          <w:sz w:val="18"/>
          <w:lang w:val="es-MX"/>
        </w:rPr>
        <w:t xml:space="preserve"> El Comité es el único órgano facultado para autorizar la desincorporación de bienes muebles improductivos propiedad del Tribunal Electoral.</w:t>
      </w:r>
    </w:p>
    <w:p w:rsidR="00ED6A26" w:rsidRPr="004E39E1" w:rsidRDefault="003E2B62" w:rsidP="00ED6A26">
      <w:pPr>
        <w:pStyle w:val="Texto"/>
        <w:spacing w:line="230" w:lineRule="exact"/>
        <w:ind w:firstLine="851"/>
        <w:rPr>
          <w:szCs w:val="18"/>
        </w:rPr>
      </w:pPr>
      <w:r w:rsidRPr="004E39E1">
        <w:rPr>
          <w:szCs w:val="18"/>
        </w:rPr>
        <w:t>Por lo que hace a la participación del Comité en el procedimiento de desincorporación de bienes inmuebles propiedad del Tribunal Electoral, no serán aplicables los artículos comprendidos en los capítulos siguientes, sino las reglas contenidas en los Lineamientos que al efecto expida la Comisión.”</w:t>
      </w:r>
      <w:r w:rsidR="00ED6A26" w:rsidRPr="004E39E1">
        <w:rPr>
          <w:sz w:val="16"/>
          <w:szCs w:val="16"/>
        </w:rPr>
        <w:t xml:space="preserve"> </w:t>
      </w:r>
      <w:r w:rsidR="001E7BB0" w:rsidRPr="004E39E1">
        <w:rPr>
          <w:sz w:val="16"/>
          <w:szCs w:val="16"/>
        </w:rPr>
        <w:t>[Adicionado mediante Acuerdo  de la Comisión de Administración de</w:t>
      </w:r>
      <w:r w:rsidR="008150E4" w:rsidRPr="004E39E1">
        <w:rPr>
          <w:sz w:val="16"/>
          <w:szCs w:val="16"/>
        </w:rPr>
        <w:t xml:space="preserve"> fecha 21-05-08</w:t>
      </w:r>
      <w:r w:rsidR="00ED6A26" w:rsidRPr="004E39E1">
        <w:rPr>
          <w:sz w:val="16"/>
          <w:szCs w:val="16"/>
        </w:rPr>
        <w:t>]</w:t>
      </w:r>
    </w:p>
    <w:p w:rsidR="003E2B62" w:rsidRPr="004E39E1" w:rsidRDefault="003E2B62" w:rsidP="00ED6A26">
      <w:pPr>
        <w:spacing w:before="100" w:beforeAutospacing="1" w:after="100" w:afterAutospacing="1"/>
        <w:jc w:val="both"/>
        <w:rPr>
          <w:rFonts w:ascii="Arial" w:hAnsi="Arial" w:cs="Arial"/>
          <w:sz w:val="18"/>
          <w:lang w:val="es-MX"/>
        </w:rPr>
      </w:pP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 14. PROCEDIMIENTO.</w:t>
      </w:r>
      <w:r w:rsidRPr="004E39E1">
        <w:rPr>
          <w:rFonts w:ascii="Arial" w:hAnsi="Arial" w:cs="Arial"/>
          <w:sz w:val="18"/>
          <w:lang w:val="es-MX"/>
        </w:rPr>
        <w:t xml:space="preserve"> El procedimiento de desincorporación se substanciará por Recursos Materiales:</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t>Las áreas que conforman el Tribunal Electoral y que tienen asignado un bien, lo pondrán a disposición de Recursos Materiales;</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t>Abrirá un expediente y recabará la documentación correspondiente; para en su caso determinar su reasignación o proponer la desincorporación de los bienes;</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t>Recabará el valor del bien o lote de bienes, conforme a los criterios señalados en el siguiente artículo;</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t>Someterá a la autorización del Comité la relación de bienes que proponga desincorporar;</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lastRenderedPageBreak/>
        <w:t>Con base al destino final señalado en la autorización y una vez efectuado el procedimiento de enajenación, efectuará los trámites conducentes para registrar la baja administrativa del bien o bienes muebles de los inventarios del Tribunal Electoral y de la Coordinación Financiera respectivamente; y</w:t>
      </w:r>
    </w:p>
    <w:p w:rsidR="0006407B" w:rsidRPr="004E39E1" w:rsidRDefault="0006407B" w:rsidP="0006407B">
      <w:pPr>
        <w:numPr>
          <w:ilvl w:val="0"/>
          <w:numId w:val="13"/>
        </w:numPr>
        <w:spacing w:before="100" w:beforeAutospacing="1" w:after="100" w:afterAutospacing="1"/>
        <w:jc w:val="both"/>
        <w:rPr>
          <w:rFonts w:ascii="Arial" w:hAnsi="Arial" w:cs="Arial"/>
          <w:sz w:val="18"/>
          <w:lang w:val="es-MX"/>
        </w:rPr>
      </w:pPr>
      <w:r w:rsidRPr="004E39E1">
        <w:rPr>
          <w:rFonts w:ascii="Arial" w:hAnsi="Arial" w:cs="Arial"/>
          <w:sz w:val="18"/>
          <w:lang w:val="es-MX"/>
        </w:rPr>
        <w:t>Llevará a cabo los trámites señalados en el presente acuerdo general para el destino final del bien o bienes.</w:t>
      </w:r>
    </w:p>
    <w:p w:rsidR="00221BB1" w:rsidRPr="004E39E1" w:rsidRDefault="00221BB1" w:rsidP="00221BB1">
      <w:pPr>
        <w:pStyle w:val="Sinespaciado"/>
        <w:ind w:firstLine="1418"/>
        <w:jc w:val="both"/>
        <w:rPr>
          <w:rFonts w:ascii="Arial" w:hAnsi="Arial" w:cs="Arial"/>
          <w:b/>
          <w:sz w:val="20"/>
          <w:szCs w:val="20"/>
        </w:rPr>
      </w:pPr>
      <w:r w:rsidRPr="004E39E1">
        <w:rPr>
          <w:rFonts w:ascii="Arial" w:hAnsi="Arial" w:cs="Arial"/>
          <w:b/>
          <w:sz w:val="20"/>
          <w:szCs w:val="20"/>
        </w:rPr>
        <w:t xml:space="preserve">Los procedimientos de desincorporación de las publicaciones que edite el Tribunal Electoral serán sustanciados por el Centro de Capacitación Judicial Electoral, aplicándose en lo conducente, el procedimiento descrito en las fracciones que anteceden. </w:t>
      </w:r>
    </w:p>
    <w:p w:rsidR="00221BB1" w:rsidRPr="004E39E1" w:rsidRDefault="00221BB1" w:rsidP="00221BB1">
      <w:pPr>
        <w:spacing w:before="100" w:beforeAutospacing="1" w:after="100" w:afterAutospacing="1"/>
        <w:ind w:firstLine="1440"/>
        <w:jc w:val="both"/>
        <w:rPr>
          <w:rFonts w:ascii="Arial" w:hAnsi="Arial" w:cs="Arial"/>
          <w:sz w:val="18"/>
          <w:lang w:val="es-MX"/>
        </w:rPr>
      </w:pPr>
      <w:r w:rsidRPr="004E39E1">
        <w:rPr>
          <w:rFonts w:ascii="Arial" w:hAnsi="Arial" w:cs="Arial"/>
          <w:b/>
          <w:sz w:val="20"/>
          <w:szCs w:val="20"/>
        </w:rPr>
        <w:t>En estos casos, la solicitud de desincorporación que se someta a la autorización del Comité, deberá acompañarse de los dictámenes técnicos que emitan el propio Centro de Capacitación Judicial Electoral y la Coordinación de Comunicación Social, en el ámbito de sus atribuciones.</w:t>
      </w:r>
      <w:r w:rsidR="00F64ED6" w:rsidRPr="004E39E1">
        <w:rPr>
          <w:rFonts w:ascii="Arial" w:hAnsi="Arial" w:cs="Arial"/>
          <w:b/>
          <w:sz w:val="20"/>
          <w:szCs w:val="20"/>
        </w:rPr>
        <w:t xml:space="preserve"> </w:t>
      </w:r>
      <w:r w:rsidR="00F64ED6" w:rsidRPr="004E39E1">
        <w:rPr>
          <w:rFonts w:ascii="Arial" w:hAnsi="Arial" w:cs="Arial"/>
          <w:sz w:val="20"/>
          <w:szCs w:val="20"/>
        </w:rPr>
        <w:t>[Adicionado mediante Acuerdo 367/S12(9-XII-2014)]</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w:t>
      </w:r>
      <w:r w:rsidRPr="004E39E1">
        <w:rPr>
          <w:rFonts w:ascii="Arial" w:hAnsi="Arial" w:cs="Arial"/>
          <w:sz w:val="18"/>
          <w:lang w:val="es-MX"/>
        </w:rPr>
        <w:t xml:space="preserve"> </w:t>
      </w:r>
      <w:r w:rsidRPr="004E39E1">
        <w:rPr>
          <w:rFonts w:ascii="Arial" w:hAnsi="Arial" w:cs="Arial"/>
          <w:b/>
          <w:sz w:val="18"/>
          <w:lang w:val="es-MX"/>
        </w:rPr>
        <w:t>15. VALOR DE LOS BIENES A DESINCORPORAR.</w:t>
      </w:r>
      <w:r w:rsidRPr="004E39E1">
        <w:rPr>
          <w:rFonts w:ascii="Arial" w:hAnsi="Arial" w:cs="Arial"/>
          <w:sz w:val="18"/>
          <w:lang w:val="es-MX"/>
        </w:rPr>
        <w:t xml:space="preserve"> Para los efectos administrativos y contables correspondientes, será necesario conocer el valor de los mismos, por lo que el valor de los bienes muebles se obtendrá de la forma siguiente:</w:t>
      </w:r>
    </w:p>
    <w:p w:rsidR="0006407B" w:rsidRPr="004E39E1" w:rsidRDefault="0006407B" w:rsidP="0006407B">
      <w:pPr>
        <w:numPr>
          <w:ilvl w:val="0"/>
          <w:numId w:val="14"/>
        </w:numPr>
        <w:spacing w:before="100" w:beforeAutospacing="1" w:after="100" w:afterAutospacing="1"/>
        <w:jc w:val="both"/>
        <w:rPr>
          <w:rFonts w:ascii="Arial" w:hAnsi="Arial" w:cs="Arial"/>
          <w:sz w:val="18"/>
          <w:lang w:val="es-MX"/>
        </w:rPr>
      </w:pPr>
      <w:r w:rsidRPr="004E39E1">
        <w:rPr>
          <w:rFonts w:ascii="Arial" w:hAnsi="Arial" w:cs="Arial"/>
          <w:sz w:val="18"/>
          <w:lang w:val="es-MX"/>
        </w:rPr>
        <w:t xml:space="preserve">Gestionará la práctica del avalúo respectivo; </w:t>
      </w:r>
    </w:p>
    <w:p w:rsidR="0006407B" w:rsidRPr="004E39E1" w:rsidRDefault="0006407B" w:rsidP="0006407B">
      <w:pPr>
        <w:numPr>
          <w:ilvl w:val="0"/>
          <w:numId w:val="14"/>
        </w:numPr>
        <w:spacing w:before="100" w:beforeAutospacing="1" w:after="100" w:afterAutospacing="1"/>
        <w:jc w:val="both"/>
        <w:rPr>
          <w:rFonts w:ascii="Arial" w:hAnsi="Arial" w:cs="Arial"/>
          <w:sz w:val="18"/>
          <w:lang w:val="es-MX"/>
        </w:rPr>
      </w:pPr>
      <w:r w:rsidRPr="004E39E1">
        <w:rPr>
          <w:rFonts w:ascii="Arial" w:hAnsi="Arial" w:cs="Arial"/>
          <w:sz w:val="18"/>
          <w:lang w:val="es-MX"/>
        </w:rPr>
        <w:t>Tratándose de vehículos que se encuentren en funcionamiento; conforme al precio promedio señalado en la Guía EBC o libro azul. Cuando los vehículos se encuentren descompuestos o deteriorados de manera que se impida su funcionamiento, se atenderá a lo señalado en la fracción anterior;</w:t>
      </w:r>
    </w:p>
    <w:p w:rsidR="0006407B" w:rsidRPr="004E39E1" w:rsidRDefault="0006407B" w:rsidP="0006407B">
      <w:pPr>
        <w:numPr>
          <w:ilvl w:val="0"/>
          <w:numId w:val="14"/>
        </w:numPr>
        <w:spacing w:before="100" w:beforeAutospacing="1" w:after="100" w:afterAutospacing="1"/>
        <w:jc w:val="both"/>
        <w:rPr>
          <w:rFonts w:ascii="Arial" w:hAnsi="Arial" w:cs="Arial"/>
          <w:sz w:val="18"/>
          <w:lang w:val="es-MX"/>
        </w:rPr>
      </w:pPr>
      <w:r w:rsidRPr="004E39E1">
        <w:rPr>
          <w:rFonts w:ascii="Arial" w:hAnsi="Arial" w:cs="Arial"/>
          <w:sz w:val="18"/>
          <w:lang w:val="es-MX"/>
        </w:rPr>
        <w:t>Tratándose de bienes que por sus condiciones se hubiese determinado que son considerados desperdicios, se atenderá al precio mínimo de venta vigente a la fecha en que se ponga a disposición, conforme a la lista de precios mínimos que se publique en el Diario Oficial de la Federación; y</w:t>
      </w:r>
    </w:p>
    <w:p w:rsidR="0006407B" w:rsidRPr="004E39E1" w:rsidRDefault="0006407B" w:rsidP="0006407B">
      <w:pPr>
        <w:numPr>
          <w:ilvl w:val="0"/>
          <w:numId w:val="14"/>
        </w:numPr>
        <w:spacing w:before="100" w:beforeAutospacing="1" w:after="100" w:afterAutospacing="1"/>
        <w:jc w:val="both"/>
        <w:rPr>
          <w:rFonts w:ascii="Arial" w:hAnsi="Arial" w:cs="Arial"/>
          <w:b/>
          <w:sz w:val="18"/>
          <w:lang w:val="es-MX"/>
        </w:rPr>
      </w:pPr>
      <w:r w:rsidRPr="004E39E1">
        <w:rPr>
          <w:rFonts w:ascii="Arial" w:hAnsi="Arial" w:cs="Arial"/>
          <w:sz w:val="18"/>
          <w:lang w:val="es-MX"/>
        </w:rPr>
        <w:t>En caso de bienes siniestrados, la valuación efectuada por la compañía aseguradora.</w:t>
      </w:r>
    </w:p>
    <w:p w:rsidR="0006407B" w:rsidRPr="004E39E1" w:rsidRDefault="0006407B">
      <w:pPr>
        <w:pStyle w:val="Ttulo5"/>
        <w:spacing w:before="100" w:beforeAutospacing="1" w:after="100" w:afterAutospacing="1"/>
        <w:rPr>
          <w:rFonts w:cs="Arial"/>
          <w:sz w:val="18"/>
        </w:rPr>
      </w:pPr>
      <w:r w:rsidRPr="004E39E1">
        <w:rPr>
          <w:rFonts w:cs="Arial"/>
          <w:sz w:val="18"/>
        </w:rPr>
        <w:t>CAPÍTULO IV</w:t>
      </w: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DESTINO FINAL DE LOS BIENES</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w:t>
      </w:r>
      <w:r w:rsidRPr="004E39E1">
        <w:rPr>
          <w:rFonts w:ascii="Arial" w:hAnsi="Arial" w:cs="Arial"/>
          <w:sz w:val="18"/>
          <w:lang w:val="es-MX"/>
        </w:rPr>
        <w:t xml:space="preserve"> </w:t>
      </w:r>
      <w:r w:rsidRPr="004E39E1">
        <w:rPr>
          <w:rFonts w:ascii="Arial" w:hAnsi="Arial" w:cs="Arial"/>
          <w:b/>
          <w:sz w:val="18"/>
          <w:lang w:val="es-MX"/>
        </w:rPr>
        <w:t>16. DESTINO FINAL DE LOS BIENES.</w:t>
      </w:r>
      <w:r w:rsidRPr="004E39E1">
        <w:rPr>
          <w:rFonts w:ascii="Arial" w:hAnsi="Arial" w:cs="Arial"/>
          <w:sz w:val="18"/>
          <w:lang w:val="es-MX"/>
        </w:rPr>
        <w:t xml:space="preserve"> El Comité determinará el destino final de los bienes desincorporados, el cual podrá ser de acuerdo con lo siguiente:</w:t>
      </w:r>
    </w:p>
    <w:p w:rsidR="0006407B" w:rsidRPr="004E39E1" w:rsidRDefault="0006407B" w:rsidP="0006407B">
      <w:pPr>
        <w:numPr>
          <w:ilvl w:val="0"/>
          <w:numId w:val="5"/>
        </w:numPr>
        <w:spacing w:before="100" w:beforeAutospacing="1" w:after="100" w:afterAutospacing="1"/>
        <w:jc w:val="both"/>
        <w:rPr>
          <w:rFonts w:ascii="Arial" w:hAnsi="Arial" w:cs="Arial"/>
          <w:sz w:val="18"/>
          <w:lang w:val="es-MX"/>
        </w:rPr>
      </w:pPr>
      <w:r w:rsidRPr="004E39E1">
        <w:rPr>
          <w:rFonts w:ascii="Arial" w:hAnsi="Arial" w:cs="Arial"/>
          <w:sz w:val="18"/>
          <w:lang w:val="es-MX"/>
        </w:rPr>
        <w:t>Enajenación;</w:t>
      </w:r>
    </w:p>
    <w:p w:rsidR="0006407B" w:rsidRPr="004E39E1" w:rsidRDefault="0006407B" w:rsidP="0006407B">
      <w:pPr>
        <w:numPr>
          <w:ilvl w:val="0"/>
          <w:numId w:val="5"/>
        </w:numPr>
        <w:spacing w:before="100" w:beforeAutospacing="1" w:after="100" w:afterAutospacing="1"/>
        <w:jc w:val="both"/>
        <w:rPr>
          <w:rFonts w:ascii="Arial" w:hAnsi="Arial" w:cs="Arial"/>
          <w:sz w:val="18"/>
          <w:lang w:val="es-MX"/>
        </w:rPr>
      </w:pPr>
      <w:r w:rsidRPr="004E39E1">
        <w:rPr>
          <w:rFonts w:ascii="Arial" w:hAnsi="Arial" w:cs="Arial"/>
          <w:sz w:val="18"/>
          <w:lang w:val="es-MX"/>
        </w:rPr>
        <w:t>Donación;</w:t>
      </w:r>
    </w:p>
    <w:p w:rsidR="0006407B" w:rsidRPr="004E39E1" w:rsidRDefault="0006407B" w:rsidP="0006407B">
      <w:pPr>
        <w:numPr>
          <w:ilvl w:val="0"/>
          <w:numId w:val="5"/>
        </w:numPr>
        <w:spacing w:before="100" w:beforeAutospacing="1" w:after="100" w:afterAutospacing="1"/>
        <w:jc w:val="both"/>
        <w:rPr>
          <w:rFonts w:ascii="Arial" w:hAnsi="Arial" w:cs="Arial"/>
          <w:sz w:val="18"/>
          <w:lang w:val="es-MX"/>
        </w:rPr>
      </w:pPr>
      <w:r w:rsidRPr="004E39E1">
        <w:rPr>
          <w:rFonts w:ascii="Arial" w:hAnsi="Arial" w:cs="Arial"/>
          <w:sz w:val="18"/>
          <w:lang w:val="es-MX"/>
        </w:rPr>
        <w:t xml:space="preserve">Desechos; y </w:t>
      </w:r>
    </w:p>
    <w:p w:rsidR="0006407B" w:rsidRPr="004E39E1" w:rsidRDefault="0006407B" w:rsidP="0006407B">
      <w:pPr>
        <w:numPr>
          <w:ilvl w:val="0"/>
          <w:numId w:val="5"/>
        </w:numPr>
        <w:spacing w:before="100" w:beforeAutospacing="1" w:after="100" w:afterAutospacing="1"/>
        <w:jc w:val="both"/>
        <w:rPr>
          <w:rFonts w:ascii="Arial" w:hAnsi="Arial" w:cs="Arial"/>
          <w:sz w:val="18"/>
          <w:lang w:val="es-MX"/>
        </w:rPr>
      </w:pPr>
      <w:r w:rsidRPr="004E39E1">
        <w:rPr>
          <w:rFonts w:ascii="Arial" w:hAnsi="Arial" w:cs="Arial"/>
          <w:sz w:val="18"/>
          <w:lang w:val="es-MX"/>
        </w:rPr>
        <w:t>Cualquier otro que determine el Comité.</w:t>
      </w:r>
    </w:p>
    <w:p w:rsidR="0006407B" w:rsidRPr="004E39E1" w:rsidRDefault="0006407B">
      <w:pPr>
        <w:pStyle w:val="Sangra2detindependiente"/>
        <w:spacing w:before="100" w:beforeAutospacing="1" w:after="100" w:afterAutospacing="1" w:line="240" w:lineRule="auto"/>
        <w:rPr>
          <w:sz w:val="18"/>
        </w:rPr>
      </w:pPr>
      <w:r w:rsidRPr="004E39E1">
        <w:rPr>
          <w:sz w:val="18"/>
        </w:rPr>
        <w:t>El destino final de los bienes tratándose de los señalados en las fracciones I y II se hará constar en un acta de entrega-recepción que elaborará Recursos Materiales, además del instrumento jurídico que resulte aplicable.</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lastRenderedPageBreak/>
        <w:t xml:space="preserve">Artículo 17. PROCEDIMIENTOS DE ENAJENACIÓN. </w:t>
      </w:r>
      <w:r w:rsidRPr="004E39E1">
        <w:rPr>
          <w:rFonts w:ascii="Arial" w:hAnsi="Arial" w:cs="Arial"/>
          <w:sz w:val="18"/>
        </w:rPr>
        <w:t>El Tribunal Electoral podrá enajenar bienes mediante los procedimientos de:</w:t>
      </w:r>
    </w:p>
    <w:p w:rsidR="0006407B" w:rsidRPr="004E39E1" w:rsidRDefault="0006407B" w:rsidP="0006407B">
      <w:pPr>
        <w:pStyle w:val="NormalWeb"/>
        <w:numPr>
          <w:ilvl w:val="0"/>
          <w:numId w:val="15"/>
        </w:numPr>
        <w:spacing w:beforeAutospacing="1" w:afterAutospacing="1"/>
        <w:rPr>
          <w:rFonts w:ascii="Arial" w:hAnsi="Arial" w:cs="Arial"/>
          <w:sz w:val="18"/>
        </w:rPr>
      </w:pPr>
      <w:r w:rsidRPr="004E39E1">
        <w:rPr>
          <w:rFonts w:ascii="Arial" w:hAnsi="Arial" w:cs="Arial"/>
          <w:sz w:val="18"/>
        </w:rPr>
        <w:t>Licitación pública;</w:t>
      </w:r>
    </w:p>
    <w:p w:rsidR="0006407B" w:rsidRPr="004E39E1" w:rsidRDefault="0006407B" w:rsidP="0006407B">
      <w:pPr>
        <w:pStyle w:val="NormalWeb"/>
        <w:numPr>
          <w:ilvl w:val="0"/>
          <w:numId w:val="15"/>
        </w:numPr>
        <w:spacing w:beforeAutospacing="1" w:afterAutospacing="1"/>
        <w:rPr>
          <w:rFonts w:ascii="Arial" w:hAnsi="Arial" w:cs="Arial"/>
          <w:sz w:val="18"/>
        </w:rPr>
      </w:pPr>
      <w:r w:rsidRPr="004E39E1">
        <w:rPr>
          <w:rFonts w:ascii="Arial" w:hAnsi="Arial" w:cs="Arial"/>
          <w:sz w:val="18"/>
        </w:rPr>
        <w:t>Invitación restringida a cuando menos tres personas;</w:t>
      </w:r>
    </w:p>
    <w:p w:rsidR="0006407B" w:rsidRPr="004E39E1" w:rsidRDefault="0006407B" w:rsidP="0006407B">
      <w:pPr>
        <w:pStyle w:val="NormalWeb"/>
        <w:numPr>
          <w:ilvl w:val="0"/>
          <w:numId w:val="15"/>
        </w:numPr>
        <w:spacing w:beforeAutospacing="1" w:afterAutospacing="1"/>
        <w:rPr>
          <w:rFonts w:ascii="Arial" w:hAnsi="Arial" w:cs="Arial"/>
          <w:sz w:val="18"/>
        </w:rPr>
      </w:pPr>
      <w:r w:rsidRPr="004E39E1">
        <w:rPr>
          <w:rFonts w:ascii="Arial" w:hAnsi="Arial" w:cs="Arial"/>
          <w:sz w:val="18"/>
        </w:rPr>
        <w:t>Adjudicación directa; y</w:t>
      </w:r>
    </w:p>
    <w:p w:rsidR="0006407B" w:rsidRPr="004E39E1" w:rsidRDefault="0006407B" w:rsidP="0006407B">
      <w:pPr>
        <w:pStyle w:val="NormalWeb"/>
        <w:numPr>
          <w:ilvl w:val="0"/>
          <w:numId w:val="15"/>
        </w:numPr>
        <w:spacing w:beforeAutospacing="1" w:afterAutospacing="1"/>
        <w:rPr>
          <w:rFonts w:ascii="Arial" w:hAnsi="Arial" w:cs="Arial"/>
          <w:sz w:val="18"/>
        </w:rPr>
      </w:pPr>
      <w:r w:rsidRPr="004E39E1">
        <w:rPr>
          <w:rFonts w:ascii="Arial" w:hAnsi="Arial" w:cs="Arial"/>
          <w:sz w:val="18"/>
        </w:rPr>
        <w:t>Venta a empleados.</w:t>
      </w:r>
    </w:p>
    <w:p w:rsidR="0006407B" w:rsidRPr="004E39E1" w:rsidRDefault="0006407B">
      <w:pPr>
        <w:pStyle w:val="Textoindependiente3"/>
        <w:spacing w:before="100" w:beforeAutospacing="1" w:after="100" w:afterAutospacing="1"/>
        <w:ind w:firstLine="1440"/>
        <w:rPr>
          <w:rFonts w:cs="Arial"/>
          <w:sz w:val="18"/>
          <w:lang w:val="es-MX"/>
        </w:rPr>
      </w:pPr>
      <w:r w:rsidRPr="004E39E1">
        <w:rPr>
          <w:rFonts w:cs="Arial"/>
          <w:sz w:val="18"/>
          <w:lang w:val="es-MX"/>
        </w:rPr>
        <w:t xml:space="preserve">La adjudicación directa y la venta a empleados se realizará por Recursos Materiales, conforme a los procedimientos autorizados por el Comité. </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Artículo 18. MONTOS DE OPERACIÓN.</w:t>
      </w:r>
      <w:r w:rsidRPr="004E39E1">
        <w:rPr>
          <w:rFonts w:ascii="Arial" w:hAnsi="Arial" w:cs="Arial"/>
          <w:sz w:val="18"/>
        </w:rPr>
        <w:t xml:space="preserve"> Con base en el monto resultado del avalúo, el Tribunal Electoral a través del Comité, podrá enajenar bienes conforme a los siguientes parámetros:</w:t>
      </w:r>
    </w:p>
    <w:p w:rsidR="0006407B" w:rsidRPr="004E39E1" w:rsidRDefault="0006407B" w:rsidP="0006407B">
      <w:pPr>
        <w:numPr>
          <w:ilvl w:val="0"/>
          <w:numId w:val="16"/>
        </w:numPr>
        <w:spacing w:before="100" w:beforeAutospacing="1" w:after="100" w:afterAutospacing="1"/>
        <w:jc w:val="both"/>
        <w:rPr>
          <w:rFonts w:ascii="Arial" w:hAnsi="Arial" w:cs="Arial"/>
          <w:sz w:val="18"/>
        </w:rPr>
      </w:pPr>
      <w:r w:rsidRPr="004E39E1">
        <w:rPr>
          <w:rFonts w:ascii="Arial" w:hAnsi="Arial" w:cs="Arial"/>
          <w:sz w:val="18"/>
        </w:rPr>
        <w:t>Licitación Pública: Excede del equivalente a seis mil días de salario mínimo;</w:t>
      </w:r>
    </w:p>
    <w:p w:rsidR="0006407B" w:rsidRPr="004E39E1" w:rsidRDefault="0006407B" w:rsidP="0006407B">
      <w:pPr>
        <w:numPr>
          <w:ilvl w:val="0"/>
          <w:numId w:val="16"/>
        </w:numPr>
        <w:spacing w:before="100" w:beforeAutospacing="1" w:after="100" w:afterAutospacing="1"/>
        <w:jc w:val="both"/>
        <w:rPr>
          <w:rFonts w:ascii="Arial" w:hAnsi="Arial" w:cs="Arial"/>
          <w:sz w:val="18"/>
        </w:rPr>
      </w:pPr>
      <w:r w:rsidRPr="004E39E1">
        <w:rPr>
          <w:rFonts w:ascii="Arial" w:hAnsi="Arial" w:cs="Arial"/>
          <w:sz w:val="18"/>
        </w:rPr>
        <w:t xml:space="preserve">Invitación restringida a cuando menos tres personas: </w:t>
      </w:r>
      <w:r w:rsidRPr="004E39E1">
        <w:rPr>
          <w:rFonts w:ascii="Arial" w:hAnsi="Arial" w:cs="Arial"/>
          <w:sz w:val="18"/>
          <w:lang w:val="es-MX"/>
        </w:rPr>
        <w:t>Superior al equivalente a quinientos días de salario mínimo y menor al equivalente a seis mil días de salario mínimo; y</w:t>
      </w:r>
    </w:p>
    <w:p w:rsidR="0006407B" w:rsidRPr="004E39E1" w:rsidRDefault="0006407B" w:rsidP="0006407B">
      <w:pPr>
        <w:pStyle w:val="Textoindependiente3"/>
        <w:numPr>
          <w:ilvl w:val="0"/>
          <w:numId w:val="16"/>
        </w:numPr>
        <w:spacing w:before="100" w:beforeAutospacing="1" w:after="100" w:afterAutospacing="1"/>
        <w:rPr>
          <w:rFonts w:cs="Arial"/>
          <w:sz w:val="18"/>
        </w:rPr>
      </w:pPr>
      <w:r w:rsidRPr="004E39E1">
        <w:rPr>
          <w:rFonts w:cs="Arial"/>
          <w:sz w:val="18"/>
        </w:rPr>
        <w:t>Adjudicación Directa: El equivalente a quinientos días de salario mínimo.</w:t>
      </w:r>
    </w:p>
    <w:p w:rsidR="0006407B" w:rsidRPr="004E39E1" w:rsidRDefault="0006407B">
      <w:pPr>
        <w:pStyle w:val="Textoindependiente3"/>
        <w:spacing w:before="100" w:beforeAutospacing="1" w:after="100" w:afterAutospacing="1"/>
        <w:ind w:firstLine="1440"/>
        <w:rPr>
          <w:rFonts w:cs="Arial"/>
          <w:sz w:val="18"/>
        </w:rPr>
      </w:pPr>
      <w:r w:rsidRPr="004E39E1">
        <w:rPr>
          <w:rFonts w:cs="Arial"/>
          <w:sz w:val="18"/>
        </w:rPr>
        <w:t>El Tribunal Electoral podrá enajenar bienes sin sujetarse al procedimiento de licitación pública o invitación restringida a cuando menos tres personas, cuando ocurran condiciones o circunstancias extraordinarias, imprevisibles, o situaciones de emergencia, a través del procedimiento de adjudicación directa.</w:t>
      </w:r>
    </w:p>
    <w:p w:rsidR="003F58F1" w:rsidRPr="004E39E1" w:rsidRDefault="003F58F1">
      <w:pPr>
        <w:pStyle w:val="Textoindependiente3"/>
        <w:spacing w:before="100" w:beforeAutospacing="1" w:after="100" w:afterAutospacing="1"/>
        <w:ind w:firstLine="1440"/>
        <w:rPr>
          <w:rFonts w:cs="Arial"/>
          <w:sz w:val="18"/>
        </w:rPr>
      </w:pPr>
    </w:p>
    <w:p w:rsidR="0006407B" w:rsidRPr="004E39E1" w:rsidRDefault="0006407B">
      <w:pPr>
        <w:pStyle w:val="Textoindependiente3"/>
        <w:spacing w:before="100" w:beforeAutospacing="1" w:after="100" w:afterAutospacing="1"/>
        <w:jc w:val="center"/>
        <w:rPr>
          <w:rFonts w:cs="Arial"/>
          <w:b/>
          <w:sz w:val="18"/>
          <w:lang w:val="es-MX"/>
        </w:rPr>
      </w:pPr>
      <w:r w:rsidRPr="004E39E1">
        <w:rPr>
          <w:rFonts w:cs="Arial"/>
          <w:b/>
          <w:sz w:val="18"/>
          <w:lang w:val="es-MX"/>
        </w:rPr>
        <w:t>CAPÍTULO V</w:t>
      </w:r>
    </w:p>
    <w:p w:rsidR="0006407B" w:rsidRPr="004E39E1" w:rsidRDefault="0006407B">
      <w:pPr>
        <w:pStyle w:val="Textoindependiente3"/>
        <w:spacing w:before="100" w:beforeAutospacing="1" w:after="100" w:afterAutospacing="1"/>
        <w:jc w:val="center"/>
        <w:rPr>
          <w:rFonts w:cs="Arial"/>
          <w:b/>
          <w:sz w:val="18"/>
          <w:lang w:val="es-MX"/>
        </w:rPr>
      </w:pPr>
      <w:r w:rsidRPr="004E39E1">
        <w:rPr>
          <w:rFonts w:cs="Arial"/>
          <w:b/>
          <w:sz w:val="18"/>
          <w:lang w:val="es-MX"/>
        </w:rPr>
        <w:t xml:space="preserve">LICITACIÓN PÚBLICA </w:t>
      </w:r>
    </w:p>
    <w:p w:rsidR="0006407B" w:rsidRPr="004E39E1" w:rsidRDefault="0006407B">
      <w:pPr>
        <w:pStyle w:val="Textoindependiente3"/>
        <w:spacing w:before="100" w:beforeAutospacing="1" w:after="100" w:afterAutospacing="1"/>
        <w:ind w:firstLine="1440"/>
        <w:rPr>
          <w:rFonts w:cs="Arial"/>
          <w:sz w:val="18"/>
          <w:lang w:val="es-MX"/>
        </w:rPr>
      </w:pPr>
      <w:r w:rsidRPr="004E39E1">
        <w:rPr>
          <w:rFonts w:cs="Arial"/>
          <w:b/>
          <w:sz w:val="18"/>
          <w:lang w:val="es-MX"/>
        </w:rPr>
        <w:t>Artículo</w:t>
      </w:r>
      <w:r w:rsidRPr="004E39E1">
        <w:rPr>
          <w:rFonts w:cs="Arial"/>
          <w:sz w:val="18"/>
          <w:lang w:val="es-MX"/>
        </w:rPr>
        <w:t xml:space="preserve"> </w:t>
      </w:r>
      <w:r w:rsidRPr="004E39E1">
        <w:rPr>
          <w:rFonts w:cs="Arial"/>
          <w:b/>
          <w:bCs/>
          <w:sz w:val="18"/>
          <w:lang w:val="es-MX"/>
        </w:rPr>
        <w:t>19</w:t>
      </w:r>
      <w:r w:rsidRPr="004E39E1">
        <w:rPr>
          <w:rFonts w:cs="Arial"/>
          <w:b/>
          <w:sz w:val="18"/>
          <w:lang w:val="es-MX"/>
        </w:rPr>
        <w:t xml:space="preserve">. DIFUSIÓN. </w:t>
      </w:r>
      <w:r w:rsidRPr="004E39E1">
        <w:rPr>
          <w:rFonts w:cs="Arial"/>
          <w:sz w:val="18"/>
          <w:lang w:val="es-MX"/>
        </w:rPr>
        <w:t>Las convocatorias públicas para la enajenación por licitación de los bienes deberán difundirse en el Diario Oficial de la Federación.</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Las convocatorias</w:t>
      </w:r>
      <w:r w:rsidR="003F58F1" w:rsidRPr="004E39E1">
        <w:rPr>
          <w:rFonts w:ascii="Arial" w:hAnsi="Arial" w:cs="Arial"/>
          <w:sz w:val="18"/>
        </w:rPr>
        <w:t>,</w:t>
      </w:r>
      <w:r w:rsidRPr="004E39E1">
        <w:rPr>
          <w:rFonts w:ascii="Arial" w:hAnsi="Arial" w:cs="Arial"/>
          <w:sz w:val="18"/>
        </w:rPr>
        <w:t xml:space="preserve"> previa autorización del Comité, podrán referirse a una o más licitaciones, debiendo contener los siguientes datos:</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Estar redactada en español;</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Contener la indicación de que el Tribunal Electoral es quien convoca;</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Descripción general, cantidad y unidad de medida de los bienes objeto de la licitación, así como el precio mínimo o de avalúo;</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Lugar, fecha y horario en que los interesados podrán obtener las bases y, en su caso, el costo y forma de pago de las mismas, así como el acceso al sitio en que se encuentren los bienes. El Tribunal Electoral libremente podrá determinar si las bases se entregarán en forma gratuita o tendrán un costo, en cuyo supuesto, las mismas podrán ser revisadas por los interesados previamente a su pago, el cual será requisito para participar en la licitación;</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Lugar y plazo máximo en que deberán ser retirados los bienes;</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lastRenderedPageBreak/>
        <w:t>Lugar, fecha y hora de celebración de los actos de apertura de ofertas y, en su caso, de fallo;</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Forma y porcentaje de la garantía de seriedad de las ofertas;</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Señalar la documentación legal que deberán presentar los interesados; y</w:t>
      </w:r>
    </w:p>
    <w:p w:rsidR="0006407B" w:rsidRPr="004E39E1" w:rsidRDefault="0006407B" w:rsidP="0006407B">
      <w:pPr>
        <w:pStyle w:val="NormalWeb"/>
        <w:numPr>
          <w:ilvl w:val="0"/>
          <w:numId w:val="17"/>
        </w:numPr>
        <w:spacing w:beforeAutospacing="1" w:afterAutospacing="1"/>
        <w:jc w:val="both"/>
        <w:rPr>
          <w:rFonts w:ascii="Arial" w:hAnsi="Arial" w:cs="Arial"/>
          <w:sz w:val="18"/>
        </w:rPr>
      </w:pPr>
      <w:r w:rsidRPr="004E39E1">
        <w:rPr>
          <w:rFonts w:ascii="Arial" w:hAnsi="Arial" w:cs="Arial"/>
          <w:sz w:val="18"/>
        </w:rPr>
        <w:t>Indicación de la fecha, hora y lugar del acto de apertura de propuestas y, en su caso de aclaraciones y de la visita al lugar en que se encuentran los bienes.</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sz w:val="18"/>
        </w:rPr>
        <w:t>20.</w:t>
      </w:r>
      <w:r w:rsidRPr="004E39E1">
        <w:rPr>
          <w:rFonts w:ascii="Arial" w:hAnsi="Arial" w:cs="Arial"/>
          <w:sz w:val="18"/>
        </w:rPr>
        <w:t xml:space="preserve"> </w:t>
      </w:r>
      <w:r w:rsidRPr="004E39E1">
        <w:rPr>
          <w:rFonts w:ascii="Arial" w:hAnsi="Arial" w:cs="Arial"/>
          <w:b/>
          <w:sz w:val="18"/>
        </w:rPr>
        <w:t>PLAZOS PARA LICITACIONES PÚBLICAS.</w:t>
      </w:r>
      <w:r w:rsidRPr="004E39E1">
        <w:rPr>
          <w:rFonts w:ascii="Arial" w:hAnsi="Arial" w:cs="Arial"/>
          <w:sz w:val="18"/>
        </w:rPr>
        <w:t xml:space="preserve"> Recursos Materiales, realizará las licitaciones públicas en los plazos siguientes:</w:t>
      </w:r>
    </w:p>
    <w:p w:rsidR="0006407B" w:rsidRPr="004E39E1" w:rsidRDefault="0006407B" w:rsidP="0006407B">
      <w:pPr>
        <w:numPr>
          <w:ilvl w:val="0"/>
          <w:numId w:val="18"/>
        </w:numPr>
        <w:spacing w:before="100" w:beforeAutospacing="1" w:after="100" w:afterAutospacing="1"/>
        <w:jc w:val="both"/>
        <w:rPr>
          <w:rFonts w:ascii="Arial" w:hAnsi="Arial" w:cs="Arial"/>
          <w:sz w:val="18"/>
        </w:rPr>
      </w:pPr>
      <w:r w:rsidRPr="004E39E1">
        <w:rPr>
          <w:rFonts w:ascii="Arial" w:hAnsi="Arial" w:cs="Arial"/>
          <w:sz w:val="18"/>
        </w:rPr>
        <w:t>La consulta y, en su caso, entrega o venta de bases se realizará durante un plazo mínimo de cinco días hábiles, contados a partir de la fecha de publicación de la convocatoria;</w:t>
      </w:r>
    </w:p>
    <w:p w:rsidR="0006407B" w:rsidRPr="004E39E1" w:rsidRDefault="0006407B" w:rsidP="0006407B">
      <w:pPr>
        <w:numPr>
          <w:ilvl w:val="0"/>
          <w:numId w:val="18"/>
        </w:numPr>
        <w:spacing w:before="100" w:beforeAutospacing="1" w:after="100" w:afterAutospacing="1"/>
        <w:jc w:val="both"/>
        <w:rPr>
          <w:rFonts w:ascii="Arial" w:hAnsi="Arial" w:cs="Arial"/>
          <w:sz w:val="18"/>
        </w:rPr>
      </w:pPr>
      <w:r w:rsidRPr="004E39E1">
        <w:rPr>
          <w:rFonts w:ascii="Arial" w:hAnsi="Arial" w:cs="Arial"/>
          <w:sz w:val="18"/>
        </w:rPr>
        <w:t>Entre el último día de venta de bases y el acto de apertura de propuestas deberá mediar un plazo mínimo de cinco días hábiles;</w:t>
      </w:r>
    </w:p>
    <w:p w:rsidR="0006407B" w:rsidRPr="004E39E1" w:rsidRDefault="0006407B" w:rsidP="0006407B">
      <w:pPr>
        <w:numPr>
          <w:ilvl w:val="0"/>
          <w:numId w:val="18"/>
        </w:numPr>
        <w:spacing w:before="100" w:beforeAutospacing="1" w:after="100" w:afterAutospacing="1"/>
        <w:jc w:val="both"/>
        <w:rPr>
          <w:rFonts w:ascii="Arial" w:hAnsi="Arial" w:cs="Arial"/>
          <w:sz w:val="18"/>
        </w:rPr>
      </w:pPr>
      <w:r w:rsidRPr="004E39E1">
        <w:rPr>
          <w:rFonts w:ascii="Arial" w:hAnsi="Arial" w:cs="Arial"/>
          <w:sz w:val="18"/>
        </w:rPr>
        <w:t>En caso de que se requiera la visita al lugar donde se encuentran los bienes, será celebrada dentro de los cinco días hábiles siguientes al último día de venta de bases, mediando un plazo mínimo de cinco días hábiles entre su celebración y el acto de apertura de propuestas;</w:t>
      </w:r>
    </w:p>
    <w:p w:rsidR="0006407B" w:rsidRPr="004E39E1" w:rsidRDefault="0006407B" w:rsidP="0006407B">
      <w:pPr>
        <w:numPr>
          <w:ilvl w:val="0"/>
          <w:numId w:val="18"/>
        </w:numPr>
        <w:spacing w:before="100" w:beforeAutospacing="1" w:after="100" w:afterAutospacing="1"/>
        <w:jc w:val="both"/>
        <w:rPr>
          <w:rFonts w:ascii="Arial" w:hAnsi="Arial" w:cs="Arial"/>
          <w:sz w:val="18"/>
        </w:rPr>
      </w:pPr>
      <w:r w:rsidRPr="004E39E1">
        <w:rPr>
          <w:rFonts w:ascii="Arial" w:hAnsi="Arial" w:cs="Arial"/>
          <w:sz w:val="18"/>
        </w:rPr>
        <w:t>Para la emisión del informe ejecutivo deberá mediar un plazo máximo de veinte días hábiles contados a partir de la fecha en que tenga verificativo el acto de apertura de propuestas. En casos excepcionales y por la complejidad de la licitación, a juicio del Comité, el plazo podrá prorrogarse hasta por veinte días hábiles adicionales; y</w:t>
      </w:r>
    </w:p>
    <w:p w:rsidR="0006407B" w:rsidRPr="004E39E1" w:rsidRDefault="0006407B" w:rsidP="0006407B">
      <w:pPr>
        <w:numPr>
          <w:ilvl w:val="0"/>
          <w:numId w:val="18"/>
        </w:numPr>
        <w:spacing w:before="100" w:beforeAutospacing="1" w:after="100" w:afterAutospacing="1"/>
        <w:jc w:val="both"/>
        <w:rPr>
          <w:rFonts w:ascii="Arial" w:hAnsi="Arial" w:cs="Arial"/>
          <w:sz w:val="18"/>
        </w:rPr>
      </w:pPr>
      <w:r w:rsidRPr="004E39E1">
        <w:rPr>
          <w:rFonts w:ascii="Arial" w:hAnsi="Arial" w:cs="Arial"/>
          <w:sz w:val="18"/>
        </w:rPr>
        <w:t>Entre la presentación del informe ejecutivo al Comité y la emisión del fallo, mediará un plazo máximo de diez días hábiles.</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Artículo 21. REQUISITOS DE BASES.</w:t>
      </w:r>
      <w:r w:rsidRPr="004E39E1">
        <w:rPr>
          <w:rFonts w:ascii="Arial" w:hAnsi="Arial" w:cs="Arial"/>
          <w:sz w:val="18"/>
        </w:rPr>
        <w:t xml:space="preserve"> Las bases que emita el Tribunal Electoral para las licitaciones públicas, se pondrán a disposición de los interesados, en el domicilio señalado para tal efecto, a partir del día de inicio de la difusión o publicación de la convocatoria. Las bases deberán contener como mínimo lo siguiente:</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Que las emite el Tribunal Electoral;</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Descripción completa y precio mínimo o de avalúo de los bienes;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Lugar, fecha y hora de celebración de los actos de apertura de ofertas y, en su caso, de fallo;</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Requisitos que deberán cumplir quienes deseen participar, entre otros, la identificación del participante, la obligación de garantizar la seriedad de su oferta, de firmar las bases, así como de presentar la oferta en sobre cerrado y, en su caso, el comprobante de pago de las bases;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Instrucciones para la presentación de las ofertas;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Fecha límite de pago de los bienes adjudicados;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Lugar, plazo y condiciones para el retiro de los bienes;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Criterios de adjudicación;</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Plazo para modificar las bases de la licitación. Solamente podrán efectuarse modificaciones hasta inclusive el tercer día hábil anterior al del acto de apertura de ofertas. Dichas modificaciones se harán del conocimiento de los interesados por los mismos medios de difusión;</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Señalamiento de que será causa de descalificación el incumplimiento de alguno de los requisitos establecidos en las bases, así como el que las ofertas presentadas no cubran el precio mínimo o de avalúo fijado para los bienes;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Causas por las cuales la licitación podrá declararse desierta;</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lastRenderedPageBreak/>
        <w:t>Indicación de que la garantía de seriedad de las ofertas se hará efectiva en caso de que el adjudicado incumpla en el pago de los bienes;</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Incluir un señalamiento relativo a una declaración de integridad, de tal manera que los licitantes al presentar las bases firmadas acepten, bajo protesta de decir verdad, de que se abstendrán de adoptar conductas, por sí mismos o a través de interpósita persona para que los servidores públicos de la dependencia, induzcan o alteren la evaluación de las ofertas, el resultado del procedimiento, u otros aspectos que otorguen condiciones más ventajosas con relación a los demás participantes; y</w:t>
      </w:r>
    </w:p>
    <w:p w:rsidR="0006407B" w:rsidRPr="004E39E1" w:rsidRDefault="0006407B" w:rsidP="0006407B">
      <w:pPr>
        <w:pStyle w:val="NormalWeb"/>
        <w:numPr>
          <w:ilvl w:val="0"/>
          <w:numId w:val="6"/>
        </w:numPr>
        <w:spacing w:beforeAutospacing="1" w:afterAutospacing="1"/>
        <w:jc w:val="both"/>
        <w:rPr>
          <w:rFonts w:ascii="Arial" w:hAnsi="Arial" w:cs="Arial"/>
          <w:sz w:val="18"/>
        </w:rPr>
      </w:pPr>
      <w:r w:rsidRPr="004E39E1">
        <w:rPr>
          <w:rFonts w:ascii="Arial" w:hAnsi="Arial" w:cs="Arial"/>
          <w:sz w:val="18"/>
        </w:rPr>
        <w:t>La indicación de que no podrán participar las personas que se encuentren en alguno de los supuestos del artículo 8 de la Ley Federal de Responsabilidades Administrativas de los Servidores Públicos, salvo que se trate de los supuestos de las fracciones III y IV del artículo 17 de este acuerdo.</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bCs/>
          <w:sz w:val="18"/>
        </w:rPr>
        <w:t xml:space="preserve">Artículo 22. INCUMPLIMIENTO DEL LICITANTE GANADOR. </w:t>
      </w:r>
      <w:r w:rsidRPr="004E39E1">
        <w:rPr>
          <w:rFonts w:ascii="Arial" w:hAnsi="Arial" w:cs="Arial"/>
          <w:sz w:val="18"/>
        </w:rPr>
        <w:t>En caso de que el licitante ganador incumpla con el pago de los bienes el Tribunal Electoral hará efectiva la garantía correspondiente y podrá adjudicar dichos bienes sin necesidad de un nuevo procedimiento al participante que haya presentado la segunda mejor oferta, y así sucesivamente, hasta la tercer mejor oferta siempre que la diferencia de ésta última no exceda al diez por ciento de la oferta inicialmente ganadora.</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sz w:val="18"/>
        </w:rPr>
        <w:t>23</w:t>
      </w:r>
      <w:r w:rsidRPr="004E39E1">
        <w:rPr>
          <w:rFonts w:ascii="Arial" w:hAnsi="Arial" w:cs="Arial"/>
          <w:b/>
          <w:bCs/>
          <w:sz w:val="18"/>
        </w:rPr>
        <w:t>.</w:t>
      </w:r>
      <w:r w:rsidRPr="004E39E1">
        <w:rPr>
          <w:rFonts w:ascii="Arial" w:hAnsi="Arial" w:cs="Arial"/>
          <w:sz w:val="18"/>
        </w:rPr>
        <w:t xml:space="preserve"> </w:t>
      </w:r>
      <w:r w:rsidRPr="004E39E1">
        <w:rPr>
          <w:rFonts w:ascii="Arial" w:hAnsi="Arial" w:cs="Arial"/>
          <w:b/>
          <w:sz w:val="18"/>
        </w:rPr>
        <w:t>GARANTÍAS.</w:t>
      </w:r>
      <w:r w:rsidRPr="004E39E1">
        <w:rPr>
          <w:rFonts w:ascii="Arial" w:hAnsi="Arial" w:cs="Arial"/>
          <w:sz w:val="18"/>
        </w:rPr>
        <w:t xml:space="preserve"> En los procedimientos de enajenación por licitación pública, el Tribunal Electoral exigirá de los interesados en adquirir bienes, que garanticen la seriedad de sus ofertas mediante cheque certificado o de caja a favor del Tribunal Electoral.</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El monto de la garantía será por el diez por ciento del precio mínimo o de avalúo, la que será devuelta a los interesados al término del acto de fallo, salvo aquella que corresponda al licitante ganador, la cual se retendrá a título de garantía del cumplimiento del pago de los bienes adjudicados y su importe se podrá aplicar a la cantidad que se hubiere obligado a cubrir.</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Corresponderá a Recursos Materiales calificar, aceptar y registrar las garantías que los licitantes presenten en la enajenación de bienes y la Coordinación Financiera conservara en guarda y custodia las garantías presentadas y en su caso devolverlas por autorización de Recursos Materiales.</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 xml:space="preserve">Artículo 24. PRESENTACIÓN DE OFERTAS. </w:t>
      </w:r>
      <w:r w:rsidRPr="004E39E1">
        <w:rPr>
          <w:rFonts w:ascii="Arial" w:hAnsi="Arial" w:cs="Arial"/>
          <w:sz w:val="18"/>
        </w:rPr>
        <w:t>Toda persona interesada que satisfaga los requisitos de las bases tendrá derecho a presentar ofertas.</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En la fecha y hora previamente establecidas, el responsable designado por el Presidente del Comité deberá proceder a iniciar el acto de apertura de ofertas, en el cual se dará lectura en voz alta de las propuestas presentadas por cada uno de los licitantes, informándose de aquellas que, en su caso, se desechen debido a que el participante no cumpla con alguno de los requisitos establecidos y las causas que motiven tal determinación.</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 xml:space="preserve">Recursos Materiales emitirá un dictamen que servirá como sustento para el fallo, mediante el cual se adjudicarán los bienes. </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Recursos Materiales con la participación de la Contraloría y la Asesoría Jurídica de la Secretaría Administrativa, levantarán acta a fin de dejar constancia de los actos de apertura de ofertas y de fallo, las cuales serán firmadas por los asistentes, la omisión de firma por parte de los licitantes no invalidará su contenido y efectos.</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lastRenderedPageBreak/>
        <w:t>Artículo</w:t>
      </w:r>
      <w:r w:rsidRPr="004E39E1">
        <w:rPr>
          <w:rFonts w:ascii="Arial" w:hAnsi="Arial" w:cs="Arial"/>
          <w:sz w:val="18"/>
        </w:rPr>
        <w:t xml:space="preserve"> </w:t>
      </w:r>
      <w:r w:rsidRPr="004E39E1">
        <w:rPr>
          <w:rFonts w:ascii="Arial" w:hAnsi="Arial" w:cs="Arial"/>
          <w:b/>
          <w:sz w:val="18"/>
        </w:rPr>
        <w:t>25. LICITACIÓN PÚBLICA DESIERTA.</w:t>
      </w:r>
      <w:r w:rsidRPr="004E39E1">
        <w:rPr>
          <w:rFonts w:ascii="Arial" w:hAnsi="Arial" w:cs="Arial"/>
          <w:sz w:val="18"/>
        </w:rPr>
        <w:t xml:space="preserve"> El Comité, declarará desierta la licitación pública en los siguientes supuestos:</w:t>
      </w:r>
    </w:p>
    <w:p w:rsidR="0006407B" w:rsidRPr="004E39E1" w:rsidRDefault="0006407B" w:rsidP="0006407B">
      <w:pPr>
        <w:numPr>
          <w:ilvl w:val="0"/>
          <w:numId w:val="7"/>
        </w:numPr>
        <w:spacing w:before="100" w:beforeAutospacing="1" w:after="100" w:afterAutospacing="1"/>
        <w:jc w:val="both"/>
        <w:rPr>
          <w:rFonts w:ascii="Arial" w:hAnsi="Arial" w:cs="Arial"/>
          <w:sz w:val="18"/>
        </w:rPr>
      </w:pPr>
      <w:r w:rsidRPr="004E39E1">
        <w:rPr>
          <w:rFonts w:ascii="Arial" w:hAnsi="Arial" w:cs="Arial"/>
          <w:sz w:val="18"/>
        </w:rPr>
        <w:t>Que no se registren concursantes a la licitación;</w:t>
      </w:r>
    </w:p>
    <w:p w:rsidR="0006407B" w:rsidRPr="004E39E1" w:rsidRDefault="0006407B" w:rsidP="0006407B">
      <w:pPr>
        <w:numPr>
          <w:ilvl w:val="0"/>
          <w:numId w:val="7"/>
        </w:numPr>
        <w:spacing w:before="100" w:beforeAutospacing="1" w:after="100" w:afterAutospacing="1"/>
        <w:jc w:val="both"/>
        <w:rPr>
          <w:rFonts w:ascii="Arial" w:hAnsi="Arial" w:cs="Arial"/>
          <w:sz w:val="18"/>
        </w:rPr>
      </w:pPr>
      <w:r w:rsidRPr="004E39E1">
        <w:rPr>
          <w:rFonts w:ascii="Arial" w:hAnsi="Arial" w:cs="Arial"/>
          <w:sz w:val="18"/>
        </w:rPr>
        <w:t>Que ninguna de las propuestas presentadas reúna los requisitos establecidos en las bases de la licitación;</w:t>
      </w:r>
    </w:p>
    <w:p w:rsidR="0006407B" w:rsidRPr="004E39E1" w:rsidRDefault="0006407B" w:rsidP="0006407B">
      <w:pPr>
        <w:numPr>
          <w:ilvl w:val="0"/>
          <w:numId w:val="7"/>
        </w:numPr>
        <w:spacing w:before="100" w:beforeAutospacing="1" w:after="100" w:afterAutospacing="1"/>
        <w:jc w:val="both"/>
        <w:rPr>
          <w:rFonts w:ascii="Arial" w:hAnsi="Arial" w:cs="Arial"/>
          <w:sz w:val="18"/>
        </w:rPr>
      </w:pPr>
      <w:r w:rsidRPr="004E39E1">
        <w:rPr>
          <w:rFonts w:ascii="Arial" w:hAnsi="Arial" w:cs="Arial"/>
          <w:sz w:val="18"/>
        </w:rPr>
        <w:t>Que las ofertas presentadas estén por debajo de los precios mínimos señalados en las bases del concurso; y</w:t>
      </w:r>
    </w:p>
    <w:p w:rsidR="0006407B" w:rsidRPr="004E39E1" w:rsidRDefault="0006407B" w:rsidP="0006407B">
      <w:pPr>
        <w:numPr>
          <w:ilvl w:val="0"/>
          <w:numId w:val="7"/>
        </w:numPr>
        <w:spacing w:before="100" w:beforeAutospacing="1" w:after="100" w:afterAutospacing="1"/>
        <w:jc w:val="both"/>
        <w:rPr>
          <w:rFonts w:ascii="Arial" w:hAnsi="Arial" w:cs="Arial"/>
          <w:sz w:val="18"/>
        </w:rPr>
      </w:pPr>
      <w:r w:rsidRPr="004E39E1">
        <w:rPr>
          <w:rFonts w:ascii="Arial" w:hAnsi="Arial" w:cs="Arial"/>
          <w:sz w:val="18"/>
        </w:rPr>
        <w:t>Por razones de interés general.</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sz w:val="18"/>
        </w:rPr>
        <w:t>Una vez declarada desierta la licitación, se efectuará la enajenación mediante el procedimiento de invitación restringida a cuando menos tres personas, y en la hipótesis de que éste también sea declarado desierto, se llevará a cabo el procedimiento de adjudicación directa.</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sz w:val="18"/>
        </w:rPr>
        <w:t>En ambos casos, previo a la realización del procedimiento, se solicitará autorización al Comité mediante el informe ejecutivo antes referido.</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sz w:val="18"/>
        </w:rPr>
        <w:t>Tratándose de licitaciones en las que una o varias partidas se declaren desiertas en virtud de los supuestos antes enunciados, se procederá a su enajenación mediante adjudicación directa o bien, cuando proceda por su monto.</w:t>
      </w:r>
    </w:p>
    <w:p w:rsidR="0006407B" w:rsidRPr="004E39E1" w:rsidRDefault="0006407B">
      <w:pPr>
        <w:pStyle w:val="Textoindependiente3"/>
        <w:spacing w:before="100" w:beforeAutospacing="1" w:after="100" w:afterAutospacing="1"/>
        <w:ind w:firstLine="1440"/>
        <w:rPr>
          <w:rFonts w:cs="Arial"/>
          <w:sz w:val="18"/>
        </w:rPr>
      </w:pPr>
      <w:r w:rsidRPr="004E39E1">
        <w:rPr>
          <w:rFonts w:cs="Arial"/>
          <w:sz w:val="18"/>
        </w:rPr>
        <w:t>El Comité podrá cancelar una licitación por caso fortuito o fuerza mayor, o cuando existan circunstancias debidamente justificadas que extingan la necesidad para enajenar bienes, y que de continuarse con el procedimiento pudiera ocasionar un daño o perjuicio al Tribunal Electoral. En tal caso, se efectuará a los licitantes el reembolso de gastos debidamente justificados y comprobables.</w:t>
      </w:r>
    </w:p>
    <w:p w:rsidR="0006407B" w:rsidRPr="004E39E1" w:rsidRDefault="0006407B">
      <w:pPr>
        <w:pStyle w:val="Ttulo5"/>
        <w:spacing w:before="100" w:beforeAutospacing="1" w:after="100" w:afterAutospacing="1"/>
        <w:rPr>
          <w:rFonts w:cs="Arial"/>
          <w:sz w:val="18"/>
          <w:lang w:val="es-ES"/>
        </w:rPr>
      </w:pPr>
      <w:r w:rsidRPr="004E39E1">
        <w:rPr>
          <w:rFonts w:cs="Arial"/>
          <w:sz w:val="18"/>
          <w:lang w:val="es-ES"/>
        </w:rPr>
        <w:t>CAPÍTULO VI</w:t>
      </w:r>
    </w:p>
    <w:p w:rsidR="0006407B" w:rsidRPr="004E39E1" w:rsidRDefault="0006407B">
      <w:pPr>
        <w:spacing w:before="100" w:beforeAutospacing="1" w:after="100" w:afterAutospacing="1"/>
        <w:jc w:val="center"/>
        <w:rPr>
          <w:rFonts w:ascii="Arial" w:hAnsi="Arial" w:cs="Arial"/>
          <w:b/>
          <w:sz w:val="18"/>
        </w:rPr>
      </w:pPr>
      <w:r w:rsidRPr="004E39E1">
        <w:rPr>
          <w:rFonts w:ascii="Arial" w:hAnsi="Arial" w:cs="Arial"/>
          <w:b/>
          <w:sz w:val="18"/>
        </w:rPr>
        <w:t>INVITACIÓN RESTRINGIDA A CUANDO MENOS TRES PERSONAS</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26. DEL PROCEDIMIENTO. </w:t>
      </w:r>
      <w:r w:rsidRPr="004E39E1">
        <w:rPr>
          <w:rFonts w:ascii="Arial" w:hAnsi="Arial" w:cs="Arial"/>
          <w:sz w:val="18"/>
        </w:rPr>
        <w:t>El procedimiento de invitación restringida a cuando menos tres personas, se iniciará con la invitación que realice Recursos Materiales a cuando menos tres personas que resulten idóneas, debiendo contarse con la participación de la Contraloría en el ámbito de su competencia.</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27. DE LA INVITACIÓN. </w:t>
      </w:r>
      <w:r w:rsidRPr="004E39E1">
        <w:rPr>
          <w:rFonts w:ascii="Arial" w:hAnsi="Arial" w:cs="Arial"/>
          <w:sz w:val="18"/>
        </w:rPr>
        <w:t>La invitación se acompañará de la información que resulte pertinente en cuanto a la descripción de los bienes a enajenar, monto del precio mínimo o de avalúo, garantía, plazo y lugar para el retiro de los bienes, condiciones de pago.</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28. DE LA RECEPCIÓN Y APERTURA DE PROPUESTAS. </w:t>
      </w:r>
      <w:r w:rsidRPr="004E39E1">
        <w:rPr>
          <w:rFonts w:ascii="Arial" w:hAnsi="Arial" w:cs="Arial"/>
          <w:sz w:val="18"/>
        </w:rPr>
        <w:t>El procedimiento de recepción y apertura de propuestas podrá realizarse en sesión pública, de acuerdo con las formalidades previstas para la licitación pública.</w:t>
      </w:r>
    </w:p>
    <w:p w:rsidR="0006407B" w:rsidRPr="004E39E1" w:rsidRDefault="0006407B">
      <w:pPr>
        <w:pStyle w:val="Sangra2detindependiente"/>
        <w:spacing w:before="100" w:beforeAutospacing="1" w:after="100" w:afterAutospacing="1" w:line="240" w:lineRule="auto"/>
        <w:rPr>
          <w:sz w:val="18"/>
          <w:lang w:val="es-ES"/>
        </w:rPr>
      </w:pPr>
      <w:r w:rsidRPr="004E39E1">
        <w:rPr>
          <w:sz w:val="18"/>
          <w:lang w:val="es-ES"/>
        </w:rPr>
        <w:t>En caso de que a juicio de Recursos Materiales,  no resulte necesario realizar sesión pública, se procederá conforme a lo siguiente:</w:t>
      </w:r>
    </w:p>
    <w:p w:rsidR="0006407B" w:rsidRPr="004E39E1" w:rsidRDefault="0006407B" w:rsidP="0006407B">
      <w:pPr>
        <w:numPr>
          <w:ilvl w:val="0"/>
          <w:numId w:val="19"/>
        </w:numPr>
        <w:spacing w:before="100" w:beforeAutospacing="1" w:after="100" w:afterAutospacing="1"/>
        <w:jc w:val="both"/>
        <w:rPr>
          <w:rFonts w:ascii="Arial" w:hAnsi="Arial" w:cs="Arial"/>
          <w:sz w:val="18"/>
        </w:rPr>
      </w:pPr>
      <w:r w:rsidRPr="004E39E1">
        <w:rPr>
          <w:rFonts w:ascii="Arial" w:hAnsi="Arial" w:cs="Arial"/>
          <w:sz w:val="18"/>
        </w:rPr>
        <w:lastRenderedPageBreak/>
        <w:t>En la invitación se señalará el lugar, horario y plazo en que deberán ser presentadas las propuestas;</w:t>
      </w:r>
    </w:p>
    <w:p w:rsidR="0006407B" w:rsidRPr="004E39E1" w:rsidRDefault="0006407B" w:rsidP="0006407B">
      <w:pPr>
        <w:numPr>
          <w:ilvl w:val="0"/>
          <w:numId w:val="19"/>
        </w:numPr>
        <w:spacing w:before="100" w:beforeAutospacing="1" w:after="100" w:afterAutospacing="1"/>
        <w:jc w:val="both"/>
        <w:rPr>
          <w:rFonts w:ascii="Arial" w:hAnsi="Arial" w:cs="Arial"/>
          <w:sz w:val="18"/>
        </w:rPr>
      </w:pPr>
      <w:r w:rsidRPr="004E39E1">
        <w:rPr>
          <w:rFonts w:ascii="Arial" w:hAnsi="Arial" w:cs="Arial"/>
          <w:sz w:val="18"/>
        </w:rPr>
        <w:t>Las propuestas serán recibidas en sobres cerrados; y</w:t>
      </w:r>
    </w:p>
    <w:p w:rsidR="0006407B" w:rsidRPr="004E39E1" w:rsidRDefault="0006407B" w:rsidP="0006407B">
      <w:pPr>
        <w:numPr>
          <w:ilvl w:val="0"/>
          <w:numId w:val="19"/>
        </w:numPr>
        <w:spacing w:before="100" w:beforeAutospacing="1" w:after="100" w:afterAutospacing="1"/>
        <w:jc w:val="both"/>
        <w:rPr>
          <w:rFonts w:ascii="Arial" w:hAnsi="Arial" w:cs="Arial"/>
          <w:sz w:val="18"/>
        </w:rPr>
      </w:pPr>
      <w:r w:rsidRPr="004E39E1">
        <w:rPr>
          <w:rFonts w:ascii="Arial" w:hAnsi="Arial" w:cs="Arial"/>
          <w:sz w:val="18"/>
        </w:rPr>
        <w:t>Para la apertura de las propuestas, invariablemente asistirá la Contraloría y, de considerarse necesario la Asesoría Jurídica de la Secretaría Administrativa.</w:t>
      </w:r>
    </w:p>
    <w:p w:rsidR="0006407B" w:rsidRPr="004E39E1" w:rsidRDefault="0006407B">
      <w:pPr>
        <w:pStyle w:val="Textoindependiente3"/>
        <w:spacing w:before="100" w:beforeAutospacing="1" w:after="100" w:afterAutospacing="1"/>
        <w:ind w:firstLine="1440"/>
        <w:rPr>
          <w:rFonts w:cs="Arial"/>
          <w:sz w:val="18"/>
        </w:rPr>
      </w:pPr>
      <w:r w:rsidRPr="004E39E1">
        <w:rPr>
          <w:rFonts w:cs="Arial"/>
          <w:sz w:val="18"/>
        </w:rPr>
        <w:t xml:space="preserve">Los plazos para la presentación de las propuestas se fijarán en cada operación atendiendo a la complejidad para elaborar las ofertas. </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29. DEL INFORME EJECUTIVO. </w:t>
      </w:r>
      <w:r w:rsidRPr="004E39E1">
        <w:rPr>
          <w:rFonts w:ascii="Arial" w:hAnsi="Arial" w:cs="Arial"/>
          <w:sz w:val="18"/>
        </w:rPr>
        <w:t>Para la adjudicación, Recursos Materiales, elaborará un informe ejecutivo que contendrá lo siguiente:</w:t>
      </w:r>
    </w:p>
    <w:p w:rsidR="0006407B" w:rsidRPr="004E39E1" w:rsidRDefault="0006407B" w:rsidP="0006407B">
      <w:pPr>
        <w:numPr>
          <w:ilvl w:val="0"/>
          <w:numId w:val="20"/>
        </w:numPr>
        <w:spacing w:before="100" w:beforeAutospacing="1" w:after="100" w:afterAutospacing="1"/>
        <w:jc w:val="both"/>
        <w:rPr>
          <w:rFonts w:ascii="Arial" w:hAnsi="Arial" w:cs="Arial"/>
          <w:sz w:val="18"/>
        </w:rPr>
      </w:pPr>
      <w:r w:rsidRPr="004E39E1">
        <w:rPr>
          <w:rFonts w:ascii="Arial" w:hAnsi="Arial" w:cs="Arial"/>
          <w:sz w:val="18"/>
        </w:rPr>
        <w:t>La evaluación de las propuestas presentadas, indicando aquellas que cumplan con los requisitos establecidos en las bases o invitación respectiva;</w:t>
      </w:r>
    </w:p>
    <w:p w:rsidR="0006407B" w:rsidRPr="004E39E1" w:rsidRDefault="0006407B" w:rsidP="0006407B">
      <w:pPr>
        <w:numPr>
          <w:ilvl w:val="0"/>
          <w:numId w:val="20"/>
        </w:numPr>
        <w:spacing w:before="100" w:beforeAutospacing="1" w:after="100" w:afterAutospacing="1"/>
        <w:jc w:val="both"/>
        <w:rPr>
          <w:rFonts w:ascii="Arial" w:hAnsi="Arial" w:cs="Arial"/>
          <w:sz w:val="18"/>
        </w:rPr>
      </w:pPr>
      <w:r w:rsidRPr="004E39E1">
        <w:rPr>
          <w:rFonts w:ascii="Arial" w:hAnsi="Arial" w:cs="Arial"/>
          <w:sz w:val="18"/>
        </w:rPr>
        <w:t>El cuadro comparativo de las propuestas económicas de los concursantes que calificaron;</w:t>
      </w:r>
    </w:p>
    <w:p w:rsidR="0006407B" w:rsidRPr="004E39E1" w:rsidRDefault="0006407B" w:rsidP="0006407B">
      <w:pPr>
        <w:numPr>
          <w:ilvl w:val="0"/>
          <w:numId w:val="20"/>
        </w:numPr>
        <w:spacing w:before="100" w:beforeAutospacing="1" w:after="100" w:afterAutospacing="1"/>
        <w:jc w:val="both"/>
        <w:rPr>
          <w:rFonts w:ascii="Arial" w:hAnsi="Arial" w:cs="Arial"/>
          <w:sz w:val="18"/>
        </w:rPr>
      </w:pPr>
      <w:r w:rsidRPr="004E39E1">
        <w:rPr>
          <w:rFonts w:ascii="Arial" w:hAnsi="Arial" w:cs="Arial"/>
          <w:sz w:val="18"/>
        </w:rPr>
        <w:t>La propuesta de adjudicación; y</w:t>
      </w:r>
    </w:p>
    <w:p w:rsidR="0006407B" w:rsidRPr="004E39E1" w:rsidRDefault="0006407B" w:rsidP="0006407B">
      <w:pPr>
        <w:numPr>
          <w:ilvl w:val="0"/>
          <w:numId w:val="20"/>
        </w:numPr>
        <w:spacing w:before="100" w:beforeAutospacing="1" w:after="100" w:afterAutospacing="1"/>
        <w:jc w:val="both"/>
        <w:rPr>
          <w:rFonts w:ascii="Arial" w:hAnsi="Arial" w:cs="Arial"/>
          <w:sz w:val="18"/>
        </w:rPr>
      </w:pPr>
      <w:r w:rsidRPr="004E39E1">
        <w:rPr>
          <w:rFonts w:ascii="Arial" w:hAnsi="Arial" w:cs="Arial"/>
          <w:sz w:val="18"/>
        </w:rPr>
        <w:t>El procedimiento mediante el cual se propone adjudicar en caso de resultar desierta la invitación restringida a cuando menos tres personas.</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sz w:val="18"/>
        </w:rPr>
        <w:t>Recursos Materiales, someterá el informe ejecutivo a consideración del Comité, con el objeto de que decida respecto de la adjudicación del contrato.</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30. NOTIFICACIÓN DEL FALLO DE ADJUDICACIÓN. </w:t>
      </w:r>
      <w:r w:rsidRPr="004E39E1">
        <w:rPr>
          <w:rFonts w:ascii="Arial" w:hAnsi="Arial" w:cs="Arial"/>
          <w:sz w:val="18"/>
        </w:rPr>
        <w:t>Una vez autorizada la adjudicación por el Comité, Recursos Materiales, notificará por escrito el fallo a los participantes.</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 xml:space="preserve">Artículo 31. DE LA INVITACIÓN RESTRINGIDA DESIERTA. </w:t>
      </w:r>
      <w:r w:rsidRPr="004E39E1">
        <w:rPr>
          <w:rFonts w:ascii="Arial" w:hAnsi="Arial" w:cs="Arial"/>
          <w:sz w:val="18"/>
        </w:rPr>
        <w:t>El Comité declarará desierta la invitación restringida a cuando menos tres personas, en los siguientes supuestos:</w:t>
      </w:r>
    </w:p>
    <w:p w:rsidR="0006407B" w:rsidRPr="004E39E1" w:rsidRDefault="0006407B" w:rsidP="0006407B">
      <w:pPr>
        <w:numPr>
          <w:ilvl w:val="0"/>
          <w:numId w:val="21"/>
        </w:numPr>
        <w:spacing w:before="100" w:beforeAutospacing="1" w:after="100" w:afterAutospacing="1"/>
        <w:jc w:val="both"/>
        <w:rPr>
          <w:rFonts w:ascii="Arial" w:hAnsi="Arial" w:cs="Arial"/>
          <w:sz w:val="18"/>
        </w:rPr>
      </w:pPr>
      <w:r w:rsidRPr="004E39E1">
        <w:rPr>
          <w:rFonts w:ascii="Arial" w:hAnsi="Arial" w:cs="Arial"/>
          <w:sz w:val="18"/>
        </w:rPr>
        <w:t xml:space="preserve">Que no presenten propuesta cuando menos dos concursantes; </w:t>
      </w:r>
    </w:p>
    <w:p w:rsidR="0006407B" w:rsidRPr="004E39E1" w:rsidRDefault="0006407B" w:rsidP="0006407B">
      <w:pPr>
        <w:numPr>
          <w:ilvl w:val="0"/>
          <w:numId w:val="21"/>
        </w:numPr>
        <w:spacing w:before="100" w:beforeAutospacing="1" w:after="100" w:afterAutospacing="1"/>
        <w:jc w:val="both"/>
        <w:rPr>
          <w:rFonts w:ascii="Arial" w:hAnsi="Arial" w:cs="Arial"/>
          <w:sz w:val="18"/>
        </w:rPr>
      </w:pPr>
      <w:r w:rsidRPr="004E39E1">
        <w:rPr>
          <w:rFonts w:ascii="Arial" w:hAnsi="Arial" w:cs="Arial"/>
          <w:sz w:val="18"/>
        </w:rPr>
        <w:t xml:space="preserve">Que ninguna de las propuestas presentadas reúna los requisitos establecidos en las bases o en la invitación; </w:t>
      </w:r>
    </w:p>
    <w:p w:rsidR="0006407B" w:rsidRPr="004E39E1" w:rsidRDefault="0006407B" w:rsidP="0006407B">
      <w:pPr>
        <w:pStyle w:val="Sangra3detindependiente"/>
        <w:numPr>
          <w:ilvl w:val="0"/>
          <w:numId w:val="21"/>
        </w:numPr>
        <w:spacing w:before="100" w:beforeAutospacing="1" w:after="100" w:afterAutospacing="1" w:line="240" w:lineRule="auto"/>
        <w:rPr>
          <w:rFonts w:cs="Arial"/>
          <w:sz w:val="18"/>
          <w:u w:val="single"/>
        </w:rPr>
      </w:pPr>
      <w:r w:rsidRPr="004E39E1">
        <w:rPr>
          <w:rFonts w:cs="Arial"/>
          <w:sz w:val="18"/>
        </w:rPr>
        <w:t>Que las ofertas presentadas estén por debajo del precio mínimo señalado en las bases del concurso; y</w:t>
      </w:r>
    </w:p>
    <w:p w:rsidR="0006407B" w:rsidRPr="004E39E1" w:rsidRDefault="0006407B" w:rsidP="0006407B">
      <w:pPr>
        <w:numPr>
          <w:ilvl w:val="0"/>
          <w:numId w:val="21"/>
        </w:numPr>
        <w:spacing w:before="100" w:beforeAutospacing="1" w:after="100" w:afterAutospacing="1"/>
        <w:jc w:val="both"/>
        <w:rPr>
          <w:rFonts w:ascii="Arial" w:hAnsi="Arial" w:cs="Arial"/>
          <w:sz w:val="18"/>
        </w:rPr>
      </w:pPr>
      <w:r w:rsidRPr="004E39E1">
        <w:rPr>
          <w:rFonts w:ascii="Arial" w:hAnsi="Arial" w:cs="Arial"/>
          <w:sz w:val="18"/>
        </w:rPr>
        <w:t>Por razones de interés general.</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sz w:val="18"/>
        </w:rPr>
        <w:t>Una vez declarada desierta la invitación restringida a cuando menos tres personas, Recursos Materiales indicará en el informe ejecutivo, el procedimiento mediante el cual se propone adjudicar, a efecto de que el Comité lo autorice.</w:t>
      </w:r>
    </w:p>
    <w:p w:rsidR="0006407B" w:rsidRPr="004E39E1" w:rsidRDefault="0006407B">
      <w:pPr>
        <w:pStyle w:val="Ttulo5"/>
        <w:spacing w:before="100" w:beforeAutospacing="1" w:after="100" w:afterAutospacing="1"/>
        <w:rPr>
          <w:rFonts w:cs="Arial"/>
          <w:sz w:val="18"/>
          <w:lang w:val="es-ES"/>
        </w:rPr>
      </w:pPr>
      <w:r w:rsidRPr="004E39E1">
        <w:rPr>
          <w:rFonts w:cs="Arial"/>
          <w:sz w:val="18"/>
          <w:lang w:val="es-ES"/>
        </w:rPr>
        <w:t>CAPÍTULO VII</w:t>
      </w:r>
    </w:p>
    <w:p w:rsidR="0006407B" w:rsidRPr="004E39E1" w:rsidRDefault="0006407B">
      <w:pPr>
        <w:spacing w:before="100" w:beforeAutospacing="1" w:after="100" w:afterAutospacing="1"/>
        <w:jc w:val="center"/>
        <w:rPr>
          <w:rFonts w:ascii="Arial" w:hAnsi="Arial" w:cs="Arial"/>
          <w:b/>
          <w:sz w:val="18"/>
        </w:rPr>
      </w:pPr>
      <w:r w:rsidRPr="004E39E1">
        <w:rPr>
          <w:rFonts w:ascii="Arial" w:hAnsi="Arial" w:cs="Arial"/>
          <w:b/>
          <w:sz w:val="18"/>
        </w:rPr>
        <w:t>ADJUDICACIÓN DIRECTA</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rPr>
        <w:t>Artículo 32. DEL PROCEDIMIENTO</w:t>
      </w:r>
      <w:r w:rsidRPr="004E39E1">
        <w:rPr>
          <w:rFonts w:ascii="Arial" w:hAnsi="Arial" w:cs="Arial"/>
          <w:b/>
          <w:bCs/>
          <w:sz w:val="18"/>
        </w:rPr>
        <w:t>.</w:t>
      </w:r>
      <w:r w:rsidRPr="004E39E1">
        <w:rPr>
          <w:rFonts w:ascii="Arial" w:hAnsi="Arial" w:cs="Arial"/>
          <w:sz w:val="18"/>
        </w:rPr>
        <w:t xml:space="preserve"> La adjudicación directa es el procedimiento a través del cual el Tribunal Electoral adjudica de manera expedita a un comprador, en virtud de materializarse alguno de los siguientes supuestos:</w:t>
      </w:r>
    </w:p>
    <w:p w:rsidR="0006407B" w:rsidRPr="004E39E1" w:rsidRDefault="0006407B" w:rsidP="0006407B">
      <w:pPr>
        <w:pStyle w:val="Sangra3detindependiente"/>
        <w:numPr>
          <w:ilvl w:val="0"/>
          <w:numId w:val="22"/>
        </w:numPr>
        <w:spacing w:before="100" w:beforeAutospacing="1" w:after="100" w:afterAutospacing="1" w:line="240" w:lineRule="auto"/>
        <w:rPr>
          <w:rFonts w:cs="Arial"/>
          <w:sz w:val="18"/>
        </w:rPr>
      </w:pPr>
      <w:r w:rsidRPr="004E39E1">
        <w:rPr>
          <w:rFonts w:cs="Arial"/>
          <w:sz w:val="18"/>
        </w:rPr>
        <w:lastRenderedPageBreak/>
        <w:t>Que el monto de la operación no rebase el parámetro establecido en el artículo 18, fracción III, del presente acuerdo general;</w:t>
      </w:r>
    </w:p>
    <w:p w:rsidR="0006407B" w:rsidRPr="004E39E1" w:rsidRDefault="0006407B" w:rsidP="0006407B">
      <w:pPr>
        <w:numPr>
          <w:ilvl w:val="0"/>
          <w:numId w:val="22"/>
        </w:numPr>
        <w:spacing w:before="100" w:beforeAutospacing="1" w:after="100" w:afterAutospacing="1"/>
        <w:jc w:val="both"/>
        <w:rPr>
          <w:rFonts w:ascii="Arial" w:hAnsi="Arial" w:cs="Arial"/>
          <w:sz w:val="18"/>
        </w:rPr>
      </w:pPr>
      <w:r w:rsidRPr="004E39E1">
        <w:rPr>
          <w:rFonts w:ascii="Arial" w:hAnsi="Arial" w:cs="Arial"/>
          <w:sz w:val="18"/>
        </w:rPr>
        <w:t xml:space="preserve">Que resulte conveniente para los intereses del Tribunal Electoral, dada la naturaleza de la operación; y </w:t>
      </w:r>
    </w:p>
    <w:p w:rsidR="0006407B" w:rsidRPr="004E39E1" w:rsidRDefault="0006407B" w:rsidP="0006407B">
      <w:pPr>
        <w:numPr>
          <w:ilvl w:val="0"/>
          <w:numId w:val="22"/>
        </w:numPr>
        <w:spacing w:before="100" w:beforeAutospacing="1" w:after="100" w:afterAutospacing="1"/>
        <w:jc w:val="both"/>
        <w:rPr>
          <w:rFonts w:ascii="Arial" w:hAnsi="Arial" w:cs="Arial"/>
          <w:sz w:val="18"/>
        </w:rPr>
      </w:pPr>
      <w:r w:rsidRPr="004E39E1">
        <w:rPr>
          <w:rFonts w:ascii="Arial" w:hAnsi="Arial" w:cs="Arial"/>
          <w:sz w:val="18"/>
        </w:rPr>
        <w:t>Que la contratación sea urgente debido a caso fortuito o fuerza mayor, independientemente del monto.</w:t>
      </w:r>
    </w:p>
    <w:p w:rsidR="003F58F1" w:rsidRPr="004E39E1" w:rsidRDefault="003F58F1" w:rsidP="003F58F1">
      <w:pPr>
        <w:spacing w:before="100" w:beforeAutospacing="1" w:after="100" w:afterAutospacing="1"/>
        <w:ind w:left="1620"/>
        <w:jc w:val="both"/>
        <w:rPr>
          <w:rFonts w:ascii="Arial" w:hAnsi="Arial" w:cs="Arial"/>
          <w:sz w:val="18"/>
        </w:rPr>
      </w:pPr>
    </w:p>
    <w:p w:rsidR="0006407B" w:rsidRPr="004E39E1" w:rsidRDefault="0006407B">
      <w:pPr>
        <w:spacing w:before="100" w:beforeAutospacing="1" w:after="100" w:afterAutospacing="1"/>
        <w:jc w:val="center"/>
        <w:rPr>
          <w:rFonts w:ascii="Arial" w:hAnsi="Arial" w:cs="Arial"/>
          <w:b/>
          <w:sz w:val="18"/>
          <w:lang w:val="es-MX"/>
        </w:rPr>
      </w:pPr>
      <w:r w:rsidRPr="004E39E1">
        <w:rPr>
          <w:rFonts w:ascii="Arial" w:hAnsi="Arial" w:cs="Arial"/>
          <w:b/>
          <w:sz w:val="18"/>
          <w:lang w:val="es-MX"/>
        </w:rPr>
        <w:t>CAPÍTULO VIII</w:t>
      </w:r>
    </w:p>
    <w:p w:rsidR="0006407B" w:rsidRPr="004E39E1" w:rsidRDefault="0006407B">
      <w:pPr>
        <w:pStyle w:val="Ttulo5"/>
        <w:spacing w:before="100" w:beforeAutospacing="1" w:after="100" w:afterAutospacing="1"/>
        <w:rPr>
          <w:rFonts w:cs="Arial"/>
          <w:sz w:val="18"/>
        </w:rPr>
      </w:pPr>
      <w:r w:rsidRPr="004E39E1">
        <w:rPr>
          <w:rFonts w:cs="Arial"/>
          <w:sz w:val="18"/>
        </w:rPr>
        <w:t>VENTA A EMPLEADOS</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 xml:space="preserve">Artículo 33. DE LAS VENTAS INTERNAS. </w:t>
      </w:r>
      <w:r w:rsidRPr="004E39E1">
        <w:rPr>
          <w:rFonts w:ascii="Arial" w:hAnsi="Arial" w:cs="Arial"/>
          <w:sz w:val="18"/>
        </w:rPr>
        <w:t>El Tribunal Electoral, podrá enajenar dichos bienes en favor de sus servidores públicos, mediante invitación, subasta o enajenación de vehículos a usuarios, cumpliendo las condiciones siguientes:</w:t>
      </w:r>
    </w:p>
    <w:p w:rsidR="0006407B" w:rsidRPr="004E39E1" w:rsidRDefault="0006407B" w:rsidP="0006407B">
      <w:pPr>
        <w:pStyle w:val="NormalWeb"/>
        <w:numPr>
          <w:ilvl w:val="0"/>
          <w:numId w:val="27"/>
        </w:numPr>
        <w:tabs>
          <w:tab w:val="clear" w:pos="720"/>
          <w:tab w:val="num" w:pos="180"/>
        </w:tabs>
        <w:spacing w:beforeAutospacing="1" w:afterAutospacing="1"/>
        <w:ind w:left="180" w:hanging="180"/>
        <w:jc w:val="both"/>
        <w:rPr>
          <w:rFonts w:ascii="Arial" w:hAnsi="Arial" w:cs="Arial"/>
          <w:b/>
          <w:sz w:val="18"/>
        </w:rPr>
      </w:pPr>
      <w:r w:rsidRPr="004E39E1">
        <w:rPr>
          <w:rFonts w:ascii="Arial" w:hAnsi="Arial" w:cs="Arial"/>
          <w:b/>
          <w:sz w:val="18"/>
        </w:rPr>
        <w:t xml:space="preserve"> Invitaciones: </w:t>
      </w:r>
    </w:p>
    <w:p w:rsidR="0006407B" w:rsidRPr="004E39E1" w:rsidRDefault="0006407B" w:rsidP="0006407B">
      <w:pPr>
        <w:pStyle w:val="NormalWeb"/>
        <w:numPr>
          <w:ilvl w:val="0"/>
          <w:numId w:val="23"/>
        </w:numPr>
        <w:spacing w:beforeAutospacing="1" w:afterAutospacing="1"/>
        <w:jc w:val="both"/>
        <w:rPr>
          <w:rFonts w:ascii="Arial" w:hAnsi="Arial" w:cs="Arial"/>
          <w:sz w:val="18"/>
        </w:rPr>
      </w:pPr>
      <w:r w:rsidRPr="004E39E1">
        <w:rPr>
          <w:rFonts w:ascii="Arial" w:hAnsi="Arial" w:cs="Arial"/>
          <w:sz w:val="18"/>
        </w:rPr>
        <w:t>Aquellos bienes muebles que no puedan ser utilizados, se ofrecerán en venta al personal del Tribunal Electoral, con la restricción de que solo podrán adquirir hasta un máximo de cuatro bienes y no más de dos similares por comprador, deberán estar adscritos a la ciudad donde se efectúe la venta y, en su caso, aquellos servidores públicos que pertenezcan al área que lo tenía;</w:t>
      </w:r>
    </w:p>
    <w:p w:rsidR="0006407B" w:rsidRPr="004E39E1" w:rsidRDefault="0006407B" w:rsidP="0006407B">
      <w:pPr>
        <w:pStyle w:val="NormalWeb"/>
        <w:numPr>
          <w:ilvl w:val="0"/>
          <w:numId w:val="23"/>
        </w:numPr>
        <w:spacing w:beforeAutospacing="1" w:afterAutospacing="1"/>
        <w:jc w:val="both"/>
        <w:rPr>
          <w:rFonts w:ascii="Arial" w:hAnsi="Arial" w:cs="Arial"/>
          <w:sz w:val="18"/>
        </w:rPr>
      </w:pPr>
      <w:r w:rsidRPr="004E39E1">
        <w:rPr>
          <w:rFonts w:ascii="Arial" w:hAnsi="Arial" w:cs="Arial"/>
          <w:sz w:val="18"/>
        </w:rPr>
        <w:t>En caso de que existan varios interesados en el mismo bien, se dará preferencia al primero que haya presentado su solicitud de compra;</w:t>
      </w:r>
    </w:p>
    <w:p w:rsidR="0006407B" w:rsidRPr="004E39E1" w:rsidRDefault="0006407B" w:rsidP="0006407B">
      <w:pPr>
        <w:pStyle w:val="NormalWeb"/>
        <w:numPr>
          <w:ilvl w:val="0"/>
          <w:numId w:val="23"/>
        </w:numPr>
        <w:spacing w:beforeAutospacing="1" w:afterAutospacing="1"/>
        <w:jc w:val="both"/>
        <w:rPr>
          <w:rFonts w:ascii="Arial" w:hAnsi="Arial" w:cs="Arial"/>
          <w:sz w:val="18"/>
        </w:rPr>
      </w:pPr>
      <w:r w:rsidRPr="004E39E1">
        <w:rPr>
          <w:rFonts w:ascii="Arial" w:hAnsi="Arial" w:cs="Arial"/>
          <w:sz w:val="18"/>
        </w:rPr>
        <w:t>Los bienes tendrán que ser identificados previamente y valuados; y</w:t>
      </w:r>
    </w:p>
    <w:p w:rsidR="0006407B" w:rsidRPr="004E39E1" w:rsidRDefault="0006407B" w:rsidP="0006407B">
      <w:pPr>
        <w:pStyle w:val="NormalWeb"/>
        <w:numPr>
          <w:ilvl w:val="0"/>
          <w:numId w:val="23"/>
        </w:numPr>
        <w:spacing w:beforeAutospacing="1" w:afterAutospacing="1"/>
        <w:jc w:val="both"/>
        <w:rPr>
          <w:rFonts w:ascii="Arial" w:hAnsi="Arial" w:cs="Arial"/>
          <w:sz w:val="18"/>
        </w:rPr>
      </w:pPr>
      <w:r w:rsidRPr="004E39E1">
        <w:rPr>
          <w:rFonts w:ascii="Arial" w:hAnsi="Arial" w:cs="Arial"/>
          <w:sz w:val="18"/>
        </w:rPr>
        <w:t>La convocatoria, las bases y la relación de los bienes objeto de la invitación deberán difundirse simultáneamente a través de la página Intranet y en un lugar visible de todas las áreas y centros de trabajo del Tribunal Electoral, ubicados donde se efectúe la venta.</w:t>
      </w:r>
    </w:p>
    <w:p w:rsidR="0006407B" w:rsidRPr="004E39E1" w:rsidRDefault="0006407B">
      <w:pPr>
        <w:pStyle w:val="NormalWeb"/>
        <w:spacing w:beforeAutospacing="1" w:afterAutospacing="1"/>
        <w:jc w:val="both"/>
        <w:rPr>
          <w:rFonts w:ascii="Arial" w:hAnsi="Arial" w:cs="Arial"/>
          <w:b/>
          <w:sz w:val="18"/>
        </w:rPr>
      </w:pPr>
      <w:r w:rsidRPr="004E39E1">
        <w:rPr>
          <w:rFonts w:ascii="Arial" w:hAnsi="Arial" w:cs="Arial"/>
          <w:b/>
          <w:sz w:val="18"/>
        </w:rPr>
        <w:t>b) Subasta</w:t>
      </w:r>
    </w:p>
    <w:p w:rsidR="0006407B" w:rsidRPr="004E39E1" w:rsidRDefault="0006407B" w:rsidP="0006407B">
      <w:pPr>
        <w:pStyle w:val="NormalWeb"/>
        <w:numPr>
          <w:ilvl w:val="0"/>
          <w:numId w:val="24"/>
        </w:numPr>
        <w:spacing w:beforeAutospacing="1" w:afterAutospacing="1"/>
        <w:jc w:val="both"/>
        <w:rPr>
          <w:rFonts w:ascii="Arial" w:hAnsi="Arial" w:cs="Arial"/>
          <w:sz w:val="18"/>
        </w:rPr>
      </w:pPr>
      <w:r w:rsidRPr="004E39E1">
        <w:rPr>
          <w:rFonts w:ascii="Arial" w:hAnsi="Arial" w:cs="Arial"/>
          <w:sz w:val="18"/>
        </w:rPr>
        <w:t>En la subasta interna podrán participar todos los servidores públicos adscritos en el Tribunal Electoral con excepción de aquellos que intervengan en los distintos actos de la subasta;</w:t>
      </w:r>
    </w:p>
    <w:p w:rsidR="0006407B" w:rsidRPr="004E39E1" w:rsidRDefault="0006407B" w:rsidP="0006407B">
      <w:pPr>
        <w:pStyle w:val="NormalWeb"/>
        <w:numPr>
          <w:ilvl w:val="0"/>
          <w:numId w:val="24"/>
        </w:numPr>
        <w:spacing w:beforeAutospacing="1" w:afterAutospacing="1"/>
        <w:jc w:val="both"/>
        <w:rPr>
          <w:rFonts w:ascii="Arial" w:hAnsi="Arial" w:cs="Arial"/>
          <w:sz w:val="18"/>
        </w:rPr>
      </w:pPr>
      <w:r w:rsidRPr="004E39E1">
        <w:rPr>
          <w:rFonts w:ascii="Arial" w:hAnsi="Arial" w:cs="Arial"/>
          <w:sz w:val="18"/>
        </w:rPr>
        <w:t>En el caso de que dos o más ofertas económicas coincidan, el Comité adjudicará los bienes al participante de mayor antigüedad en la institución; y</w:t>
      </w:r>
    </w:p>
    <w:p w:rsidR="0006407B" w:rsidRPr="004E39E1" w:rsidRDefault="0006407B" w:rsidP="0006407B">
      <w:pPr>
        <w:pStyle w:val="NormalWeb"/>
        <w:numPr>
          <w:ilvl w:val="0"/>
          <w:numId w:val="24"/>
        </w:numPr>
        <w:spacing w:beforeAutospacing="1" w:afterAutospacing="1"/>
        <w:jc w:val="both"/>
        <w:rPr>
          <w:rFonts w:ascii="Arial" w:hAnsi="Arial" w:cs="Arial"/>
          <w:sz w:val="18"/>
        </w:rPr>
      </w:pPr>
      <w:r w:rsidRPr="004E39E1">
        <w:rPr>
          <w:rFonts w:ascii="Arial" w:hAnsi="Arial" w:cs="Arial"/>
          <w:sz w:val="18"/>
        </w:rPr>
        <w:t>La convocatoria, las bases y la relación de los bienes objeto de la subasta deberán difundirse simultáneamente a través de la página en Intranet y en un lugar visible de todas las áreas y centros de trabajo del Tribunal Electoral, ubicados en la ciudad donde se efectúe la venta.</w:t>
      </w:r>
    </w:p>
    <w:p w:rsidR="0006407B" w:rsidRPr="004E39E1" w:rsidRDefault="0006407B">
      <w:pPr>
        <w:pStyle w:val="NormalWeb"/>
        <w:spacing w:beforeAutospacing="1" w:afterAutospacing="1"/>
        <w:jc w:val="both"/>
        <w:rPr>
          <w:rFonts w:ascii="Arial" w:hAnsi="Arial" w:cs="Arial"/>
          <w:b/>
          <w:sz w:val="18"/>
        </w:rPr>
      </w:pPr>
      <w:r w:rsidRPr="004E39E1">
        <w:rPr>
          <w:rFonts w:ascii="Arial" w:hAnsi="Arial" w:cs="Arial"/>
          <w:b/>
          <w:sz w:val="18"/>
        </w:rPr>
        <w:t xml:space="preserve">c) Enajenación de vehículos a usuarios </w:t>
      </w:r>
    </w:p>
    <w:p w:rsidR="0006407B" w:rsidRPr="004E39E1" w:rsidRDefault="0006407B" w:rsidP="0006407B">
      <w:pPr>
        <w:pStyle w:val="NormalWeb"/>
        <w:numPr>
          <w:ilvl w:val="0"/>
          <w:numId w:val="25"/>
        </w:numPr>
        <w:spacing w:beforeAutospacing="1" w:afterAutospacing="1"/>
        <w:jc w:val="both"/>
        <w:rPr>
          <w:rFonts w:ascii="Arial" w:hAnsi="Arial" w:cs="Arial"/>
          <w:sz w:val="18"/>
        </w:rPr>
      </w:pPr>
      <w:r w:rsidRPr="004E39E1">
        <w:rPr>
          <w:rFonts w:ascii="Arial" w:hAnsi="Arial" w:cs="Arial"/>
          <w:sz w:val="18"/>
        </w:rPr>
        <w:t>Los usuarios que tengan asignados vehículos como prestación, en el momento que se autorice su desincorporación, tendrán prioridad para la adquisición de los vehículos que tienen asignados.</w:t>
      </w:r>
    </w:p>
    <w:p w:rsidR="0006407B" w:rsidRPr="004E39E1" w:rsidRDefault="0006407B">
      <w:pPr>
        <w:spacing w:before="100" w:beforeAutospacing="1" w:after="100" w:afterAutospacing="1"/>
        <w:ind w:firstLine="1440"/>
        <w:jc w:val="both"/>
        <w:rPr>
          <w:rFonts w:ascii="Arial" w:hAnsi="Arial" w:cs="Arial"/>
          <w:sz w:val="18"/>
        </w:rPr>
      </w:pPr>
      <w:r w:rsidRPr="004E39E1">
        <w:rPr>
          <w:rFonts w:ascii="Arial" w:hAnsi="Arial" w:cs="Arial"/>
          <w:b/>
          <w:sz w:val="18"/>
          <w:lang w:val="es-MX"/>
        </w:rPr>
        <w:lastRenderedPageBreak/>
        <w:t>Artículo 34.</w:t>
      </w:r>
      <w:r w:rsidRPr="004E39E1">
        <w:rPr>
          <w:rFonts w:ascii="Arial" w:hAnsi="Arial" w:cs="Arial"/>
          <w:sz w:val="18"/>
          <w:lang w:val="es-MX"/>
        </w:rPr>
        <w:t xml:space="preserve"> </w:t>
      </w:r>
      <w:r w:rsidRPr="004E39E1">
        <w:rPr>
          <w:rFonts w:ascii="Arial" w:hAnsi="Arial" w:cs="Arial"/>
          <w:b/>
          <w:sz w:val="18"/>
          <w:lang w:val="es-MX"/>
        </w:rPr>
        <w:t xml:space="preserve">VENTA DE VEHÍCULOS. </w:t>
      </w:r>
      <w:r w:rsidRPr="004E39E1">
        <w:rPr>
          <w:rFonts w:ascii="Arial" w:hAnsi="Arial" w:cs="Arial"/>
          <w:sz w:val="18"/>
        </w:rPr>
        <w:t>Para el caso de vehículos, la determinación del precio mínimo correspondiente, será:</w:t>
      </w:r>
    </w:p>
    <w:p w:rsidR="0006407B" w:rsidRPr="004E39E1" w:rsidRDefault="0006407B" w:rsidP="0006407B">
      <w:pPr>
        <w:pStyle w:val="NormalWeb"/>
        <w:numPr>
          <w:ilvl w:val="0"/>
          <w:numId w:val="26"/>
        </w:numPr>
        <w:spacing w:beforeAutospacing="1" w:afterAutospacing="1"/>
        <w:jc w:val="both"/>
        <w:rPr>
          <w:rFonts w:ascii="Arial" w:hAnsi="Arial" w:cs="Arial"/>
          <w:sz w:val="18"/>
        </w:rPr>
      </w:pPr>
      <w:r w:rsidRPr="004E39E1">
        <w:rPr>
          <w:rFonts w:ascii="Arial" w:hAnsi="Arial" w:cs="Arial"/>
          <w:sz w:val="18"/>
        </w:rPr>
        <w:t>Vehículos en uso a través de la Guía EBC (Libro Azul), edición mensual que corresponda, a fin de establecer el precio promedio de los vehículos, el cual se obtendrá de la suma del precio de venta y el precio de compra dividido entre dos;</w:t>
      </w:r>
    </w:p>
    <w:p w:rsidR="0006407B" w:rsidRPr="004E39E1" w:rsidRDefault="0006407B" w:rsidP="0006407B">
      <w:pPr>
        <w:pStyle w:val="NormalWeb"/>
        <w:numPr>
          <w:ilvl w:val="0"/>
          <w:numId w:val="26"/>
        </w:numPr>
        <w:spacing w:beforeAutospacing="1" w:afterAutospacing="1"/>
        <w:jc w:val="both"/>
        <w:rPr>
          <w:rFonts w:ascii="Arial" w:hAnsi="Arial" w:cs="Arial"/>
          <w:sz w:val="18"/>
        </w:rPr>
      </w:pPr>
      <w:r w:rsidRPr="004E39E1">
        <w:rPr>
          <w:rFonts w:ascii="Arial" w:hAnsi="Arial" w:cs="Arial"/>
          <w:sz w:val="18"/>
        </w:rPr>
        <w:t>Cuando se trate de vehículos cuyos precios de compra y venta no aparezcan en la Guía EBC (Libro Azul), o bien, los que debido al servicio al cual estaban destinados hayan sufrido modificaciones y sus características no estén plenamente identificadas en la mencionada guía, su valor será determinado mediante avalúo;</w:t>
      </w:r>
    </w:p>
    <w:p w:rsidR="0006407B" w:rsidRPr="004E39E1" w:rsidRDefault="0006407B" w:rsidP="0006407B">
      <w:pPr>
        <w:pStyle w:val="NormalWeb"/>
        <w:numPr>
          <w:ilvl w:val="0"/>
          <w:numId w:val="26"/>
        </w:numPr>
        <w:spacing w:beforeAutospacing="1" w:afterAutospacing="1"/>
        <w:jc w:val="both"/>
        <w:rPr>
          <w:rFonts w:ascii="Arial" w:hAnsi="Arial" w:cs="Arial"/>
          <w:sz w:val="18"/>
        </w:rPr>
      </w:pPr>
      <w:r w:rsidRPr="004E39E1">
        <w:rPr>
          <w:rFonts w:ascii="Arial" w:hAnsi="Arial" w:cs="Arial"/>
          <w:sz w:val="18"/>
        </w:rPr>
        <w:t>Cuando los vehículos no se encuentren en condiciones de operación o de funcionamiento y por su estado físico se consideren como desecho ferroso vehicular, la determinación de su precio mínimo deberá obtenerse con base en la lista de precios mínimos para desechos de bienes muebles que generen las dependencias y entidades de la Administración Pública Federal que emite la Secretaría de la Función Pública y que se publica bimestralmente en el Diario Oficial de la Federación;</w:t>
      </w:r>
    </w:p>
    <w:p w:rsidR="0006407B" w:rsidRPr="004E39E1" w:rsidRDefault="0006407B" w:rsidP="0006407B">
      <w:pPr>
        <w:pStyle w:val="Textoindependiente"/>
        <w:numPr>
          <w:ilvl w:val="0"/>
          <w:numId w:val="26"/>
        </w:numPr>
        <w:spacing w:before="100" w:beforeAutospacing="1" w:after="100" w:afterAutospacing="1"/>
        <w:rPr>
          <w:rFonts w:ascii="Arial" w:hAnsi="Arial" w:cs="Arial"/>
          <w:sz w:val="18"/>
        </w:rPr>
      </w:pPr>
      <w:r w:rsidRPr="004E39E1">
        <w:rPr>
          <w:rFonts w:ascii="Arial" w:hAnsi="Arial" w:cs="Arial"/>
          <w:sz w:val="18"/>
        </w:rPr>
        <w:t>En el supuesto de que los vehículos se encuentren golpeados, con los motores desbielados, las transmisiones o tracciones dañadas o que para su uso se requiera efectuar reparaciones mayores, el valor correspondiente podría ser menor al que aparece en la Guía EBC (Libro azul), y se determinará a través de la práctica de avalúo; y</w:t>
      </w:r>
    </w:p>
    <w:p w:rsidR="0006407B" w:rsidRPr="004E39E1" w:rsidRDefault="0006407B" w:rsidP="0006407B">
      <w:pPr>
        <w:pStyle w:val="Textoindependiente"/>
        <w:numPr>
          <w:ilvl w:val="0"/>
          <w:numId w:val="26"/>
        </w:numPr>
        <w:spacing w:before="100" w:beforeAutospacing="1" w:after="100" w:afterAutospacing="1"/>
        <w:rPr>
          <w:rFonts w:ascii="Arial" w:hAnsi="Arial" w:cs="Arial"/>
          <w:sz w:val="18"/>
        </w:rPr>
      </w:pPr>
      <w:r w:rsidRPr="004E39E1">
        <w:rPr>
          <w:rFonts w:ascii="Arial" w:hAnsi="Arial" w:cs="Arial"/>
          <w:sz w:val="18"/>
        </w:rPr>
        <w:t xml:space="preserve">En el caso de vehículos que como prestación se otorguen, y se autorice su enajenación, los resguardantes tendrán el derecho de tanto, que será fijado en la convocatoria respectiva que apruebe el Comité. </w:t>
      </w:r>
    </w:p>
    <w:p w:rsidR="0006407B" w:rsidRPr="004E39E1" w:rsidRDefault="0006407B">
      <w:pPr>
        <w:pStyle w:val="Textoindependiente"/>
        <w:spacing w:before="100" w:beforeAutospacing="1" w:after="100" w:afterAutospacing="1"/>
        <w:ind w:firstLine="1440"/>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sz w:val="18"/>
        </w:rPr>
        <w:t xml:space="preserve">35. ENDOSO EN LA VENTA DE VEHÍCULOS. </w:t>
      </w:r>
      <w:r w:rsidRPr="004E39E1">
        <w:rPr>
          <w:rFonts w:ascii="Arial" w:hAnsi="Arial" w:cs="Arial"/>
          <w:sz w:val="18"/>
        </w:rPr>
        <w:t>Cuando se trate de la venta de vehículos, además se entregará la factura original endosada por el Secretario Administrativo u otro servidor público que cuente con las facultades para ello, a favor del participante ganador o del servidor público adjudicado, además de los comprobantes originales de pago de tenencias por los últimos cinco ejercicios fiscales, la tarjeta de circulación con el cambio de propietario a favor del participante ganador y el comprobante de la última verificación de contaminantes. Los gastos por concepto del traslado, retiro y cambio de propietario del vehículo adjudicado serán por cuenta del participante ganador.</w:t>
      </w:r>
    </w:p>
    <w:p w:rsidR="0006407B" w:rsidRPr="004E39E1" w:rsidRDefault="0006407B">
      <w:pPr>
        <w:pStyle w:val="Textoindependiente"/>
        <w:spacing w:before="100" w:beforeAutospacing="1" w:after="100" w:afterAutospacing="1"/>
        <w:ind w:firstLine="1440"/>
        <w:rPr>
          <w:rFonts w:ascii="Arial" w:hAnsi="Arial" w:cs="Arial"/>
          <w:sz w:val="18"/>
        </w:rPr>
      </w:pPr>
      <w:r w:rsidRPr="004E39E1">
        <w:rPr>
          <w:rFonts w:ascii="Arial" w:hAnsi="Arial" w:cs="Arial"/>
          <w:b/>
          <w:sz w:val="18"/>
        </w:rPr>
        <w:t>Artículo 36. DONACIÓN.</w:t>
      </w:r>
      <w:r w:rsidRPr="004E39E1">
        <w:rPr>
          <w:rFonts w:ascii="Arial" w:hAnsi="Arial" w:cs="Arial"/>
          <w:sz w:val="18"/>
        </w:rPr>
        <w:t xml:space="preserve"> La donación de bienes susceptibles de desincorporar a Asociaciones o Instituciones de Asistencia, de Beneficencia, Educativas y Culturales, Poderes de los Estados, Municipios, Tribunales Electorales de las Entidades Federativas, Dependencias y Entidades de la Administración Pública Federal y a Órganos Públicos con Autonomía derivada de la Constitución Federal, o a quienes atiendan la prestación de cualquier servicio de carácter social; o bien, a beneficiarios de algún servicio público asistencial, legalmente constituidas, procederá previo dictamen del Comité y autorización de la Comisión.</w:t>
      </w:r>
    </w:p>
    <w:p w:rsidR="0006407B" w:rsidRPr="004E39E1" w:rsidRDefault="0006407B">
      <w:pPr>
        <w:spacing w:before="100" w:beforeAutospacing="1" w:after="100" w:afterAutospacing="1"/>
        <w:ind w:firstLine="1440"/>
        <w:jc w:val="both"/>
        <w:rPr>
          <w:rFonts w:ascii="Arial" w:hAnsi="Arial" w:cs="Arial"/>
          <w:sz w:val="18"/>
          <w:lang w:val="es-MX"/>
        </w:rPr>
      </w:pPr>
      <w:r w:rsidRPr="004E39E1">
        <w:rPr>
          <w:rFonts w:ascii="Arial" w:hAnsi="Arial" w:cs="Arial"/>
          <w:b/>
          <w:sz w:val="18"/>
          <w:lang w:val="es-MX"/>
        </w:rPr>
        <w:t>Artículo 37. DESECHOS.</w:t>
      </w:r>
      <w:r w:rsidRPr="004E39E1">
        <w:rPr>
          <w:rFonts w:ascii="Arial" w:hAnsi="Arial" w:cs="Arial"/>
          <w:sz w:val="18"/>
          <w:lang w:val="es-MX"/>
        </w:rPr>
        <w:t xml:space="preserve"> En caso de que existan desechos que no se puedan vender o donar, Recursos Materiales se encargará de determinar su retiro del almacén general o de las instalaciones en las que se encuentren.</w:t>
      </w:r>
    </w:p>
    <w:p w:rsidR="0006407B" w:rsidRPr="004E39E1" w:rsidRDefault="0006407B">
      <w:pPr>
        <w:pStyle w:val="Sangra2detindependiente"/>
        <w:spacing w:before="100" w:beforeAutospacing="1" w:after="100" w:afterAutospacing="1" w:line="240" w:lineRule="auto"/>
        <w:rPr>
          <w:sz w:val="18"/>
        </w:rPr>
      </w:pPr>
      <w:r w:rsidRPr="004E39E1">
        <w:rPr>
          <w:sz w:val="18"/>
        </w:rPr>
        <w:t>Recursos Materiales verificará que los desechos sean retirados de ser posible a través del servicio público de limpia y de no ser posible contratará personal especializado para su retiro.</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b/>
          <w:sz w:val="18"/>
        </w:rPr>
        <w:t>Artículo</w:t>
      </w:r>
      <w:r w:rsidRPr="004E39E1">
        <w:rPr>
          <w:rFonts w:ascii="Arial" w:hAnsi="Arial" w:cs="Arial"/>
          <w:sz w:val="18"/>
        </w:rPr>
        <w:t xml:space="preserve"> </w:t>
      </w:r>
      <w:r w:rsidRPr="004E39E1">
        <w:rPr>
          <w:rFonts w:ascii="Arial" w:hAnsi="Arial" w:cs="Arial"/>
          <w:b/>
          <w:sz w:val="18"/>
        </w:rPr>
        <w:t xml:space="preserve">38. DESECHOS PERIÓDICOS. </w:t>
      </w:r>
      <w:r w:rsidRPr="004E39E1">
        <w:rPr>
          <w:rFonts w:ascii="Arial" w:hAnsi="Arial" w:cs="Arial"/>
          <w:sz w:val="18"/>
        </w:rPr>
        <w:t xml:space="preserve">Tratándose de desechos generados periódicamente, el Tribunal Electoral a través de </w:t>
      </w:r>
      <w:r w:rsidRPr="004E39E1">
        <w:rPr>
          <w:rFonts w:ascii="Arial" w:hAnsi="Arial" w:cs="Arial"/>
          <w:sz w:val="18"/>
          <w:lang w:val="es-MX"/>
        </w:rPr>
        <w:t xml:space="preserve">Recursos Materiales, </w:t>
      </w:r>
      <w:r w:rsidRPr="004E39E1">
        <w:rPr>
          <w:rFonts w:ascii="Arial" w:hAnsi="Arial" w:cs="Arial"/>
          <w:sz w:val="18"/>
        </w:rPr>
        <w:t xml:space="preserve">deberá enajenarlos de acuerdo a lo </w:t>
      </w:r>
      <w:r w:rsidRPr="004E39E1">
        <w:rPr>
          <w:rFonts w:ascii="Arial" w:hAnsi="Arial" w:cs="Arial"/>
          <w:sz w:val="18"/>
        </w:rPr>
        <w:lastRenderedPageBreak/>
        <w:t>establecido en el artículo 18 del presente acuerdo general y la adjudicación correspondiente podrá formalizarla a través de contratos con vigencia hasta de un ejercicio presupuestal.</w:t>
      </w:r>
    </w:p>
    <w:p w:rsidR="0006407B" w:rsidRPr="004E39E1" w:rsidRDefault="0006407B">
      <w:pPr>
        <w:pStyle w:val="NormalWeb"/>
        <w:spacing w:beforeAutospacing="1" w:afterAutospacing="1"/>
        <w:ind w:firstLine="1440"/>
        <w:jc w:val="both"/>
        <w:rPr>
          <w:rFonts w:ascii="Arial" w:hAnsi="Arial" w:cs="Arial"/>
          <w:sz w:val="18"/>
        </w:rPr>
      </w:pPr>
      <w:r w:rsidRPr="004E39E1">
        <w:rPr>
          <w:rFonts w:ascii="Arial" w:hAnsi="Arial" w:cs="Arial"/>
          <w:sz w:val="18"/>
        </w:rPr>
        <w:t xml:space="preserve">En estos casos debe pactarse la obligación de ajustar los precios en forma proporcional a las variaciones que se presenten, considerando la disminución o aumento que contemple la “lista de precios mínimos para desechos de bienes muebles que generan las dependencias y entidades de la Administración Pública Federal” que emite la Secretaría de la Función Pública y que se publica bimestralmente en el Diario Oficial de la Federación o, en su caso, del avalúo vigente que corresponda. La falta de cumplimiento de las condiciones pactadas en el contrato será motivo de la rescisión del mismo y la aplicación de las penas convencionales correspondientes, señaladas en el propio contrato. </w:t>
      </w:r>
    </w:p>
    <w:p w:rsidR="00FD2BBE" w:rsidRDefault="00FD2BBE"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Default="00AF6DB3" w:rsidP="00FD2BBE">
      <w:pPr>
        <w:jc w:val="center"/>
        <w:rPr>
          <w:sz w:val="22"/>
          <w:szCs w:val="22"/>
        </w:rPr>
      </w:pPr>
    </w:p>
    <w:p w:rsidR="00AF6DB3" w:rsidRPr="00AF6DB3" w:rsidRDefault="00AF6DB3" w:rsidP="00AF6DB3">
      <w:pPr>
        <w:spacing w:after="200" w:line="276" w:lineRule="auto"/>
        <w:jc w:val="both"/>
        <w:rPr>
          <w:rFonts w:ascii="Arial" w:eastAsiaTheme="minorEastAsia" w:hAnsi="Arial" w:cs="Arial"/>
          <w:sz w:val="22"/>
          <w:szCs w:val="22"/>
          <w:lang w:val="es-MX" w:eastAsia="es-MX"/>
        </w:rPr>
      </w:pPr>
      <w:r w:rsidRPr="00AF6DB3">
        <w:rPr>
          <w:rFonts w:ascii="Arial" w:eastAsiaTheme="minorEastAsia" w:hAnsi="Arial" w:cs="Arial"/>
          <w:sz w:val="22"/>
          <w:szCs w:val="22"/>
          <w:lang w:val="es-MX" w:eastAsia="es-MX"/>
        </w:rPr>
        <w:lastRenderedPageBreak/>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AF6DB3" w:rsidRPr="00AF6DB3" w:rsidRDefault="00AF6DB3" w:rsidP="00AF6DB3">
      <w:pPr>
        <w:spacing w:after="200" w:line="276" w:lineRule="auto"/>
        <w:rPr>
          <w:rFonts w:asciiTheme="minorHAnsi" w:eastAsiaTheme="minorEastAsia" w:hAnsiTheme="minorHAnsi" w:cstheme="minorBidi"/>
          <w:sz w:val="22"/>
          <w:szCs w:val="22"/>
          <w:lang w:val="es-MX" w:eastAsia="es-MX"/>
        </w:rPr>
      </w:pPr>
    </w:p>
    <w:p w:rsidR="00AF6DB3" w:rsidRPr="00AF6DB3" w:rsidRDefault="00AF6DB3" w:rsidP="00AF6DB3">
      <w:pPr>
        <w:spacing w:after="200" w:line="276" w:lineRule="auto"/>
        <w:rPr>
          <w:rFonts w:ascii="Arial" w:eastAsiaTheme="minorEastAsia" w:hAnsi="Arial" w:cs="Arial"/>
          <w:b/>
          <w:sz w:val="22"/>
          <w:szCs w:val="22"/>
          <w:lang w:val="es-MX" w:eastAsia="es-MX"/>
        </w:rPr>
      </w:pPr>
      <w:r w:rsidRPr="00AF6DB3">
        <w:rPr>
          <w:rFonts w:ascii="Arial" w:eastAsiaTheme="minorEastAsia" w:hAnsi="Arial" w:cs="Arial"/>
          <w:b/>
          <w:sz w:val="22"/>
          <w:szCs w:val="22"/>
          <w:lang w:val="es-MX" w:eastAsia="es-MX"/>
        </w:rPr>
        <w:t>-----------------------------------------------------CERTIFICA---------------------------------------------------</w:t>
      </w:r>
    </w:p>
    <w:p w:rsidR="00AF6DB3" w:rsidRPr="00AF6DB3" w:rsidRDefault="00AF6DB3" w:rsidP="00AF6DB3">
      <w:pPr>
        <w:spacing w:after="200" w:line="276" w:lineRule="auto"/>
        <w:rPr>
          <w:rFonts w:asciiTheme="minorHAnsi" w:eastAsiaTheme="minorEastAsia" w:hAnsiTheme="minorHAnsi" w:cstheme="minorBidi"/>
          <w:sz w:val="22"/>
          <w:szCs w:val="22"/>
          <w:lang w:val="es-MX" w:eastAsia="es-MX"/>
        </w:rPr>
      </w:pPr>
      <w:bookmarkStart w:id="0" w:name="_GoBack"/>
      <w:bookmarkEnd w:id="0"/>
    </w:p>
    <w:p w:rsidR="00AF6DB3" w:rsidRPr="00AF6DB3" w:rsidRDefault="00AF6DB3" w:rsidP="00AF6DB3">
      <w:pPr>
        <w:spacing w:after="200" w:line="276" w:lineRule="auto"/>
        <w:jc w:val="both"/>
        <w:rPr>
          <w:rFonts w:ascii="Arial" w:eastAsiaTheme="minorEastAsia" w:hAnsi="Arial" w:cs="Arial"/>
          <w:sz w:val="22"/>
          <w:szCs w:val="22"/>
          <w:lang w:val="es-MX" w:eastAsia="es-MX"/>
        </w:rPr>
      </w:pPr>
      <w:r>
        <w:rPr>
          <w:rFonts w:ascii="Arial" w:eastAsiaTheme="minorEastAsia" w:hAnsi="Arial" w:cs="Arial"/>
          <w:sz w:val="22"/>
          <w:szCs w:val="22"/>
          <w:lang w:val="es-MX" w:eastAsia="es-MX"/>
        </w:rPr>
        <w:t>Que el presente documento en 17</w:t>
      </w:r>
      <w:r w:rsidRPr="00AF6DB3">
        <w:rPr>
          <w:rFonts w:ascii="Arial" w:eastAsiaTheme="minorEastAsia" w:hAnsi="Arial" w:cs="Arial"/>
          <w:sz w:val="22"/>
          <w:szCs w:val="22"/>
          <w:lang w:val="es-MX" w:eastAsia="es-MX"/>
        </w:rPr>
        <w:t xml:space="preserve"> fojas, corresponde a los </w:t>
      </w:r>
      <w:r w:rsidRPr="00AF6DB3">
        <w:rPr>
          <w:rFonts w:ascii="Arial" w:eastAsiaTheme="minorEastAsia" w:hAnsi="Arial" w:cs="Arial"/>
          <w:b/>
          <w:sz w:val="22"/>
          <w:szCs w:val="22"/>
          <w:lang w:val="es-MX" w:eastAsia="es-MX"/>
        </w:rPr>
        <w:t>“</w:t>
      </w:r>
      <w:r>
        <w:rPr>
          <w:rFonts w:ascii="Arial" w:eastAsiaTheme="minorEastAsia" w:hAnsi="Arial" w:cs="Arial"/>
          <w:b/>
          <w:sz w:val="22"/>
          <w:szCs w:val="22"/>
          <w:lang w:val="es-MX" w:eastAsia="es-MX"/>
        </w:rPr>
        <w:t>Lineamientos para la Desincorporación de toda clase de Bienes del Tribunal Electoral del Poder Judicial de la Federación</w:t>
      </w:r>
      <w:r w:rsidRPr="00AF6DB3">
        <w:rPr>
          <w:rFonts w:ascii="Arial" w:eastAsiaTheme="minorEastAsia" w:hAnsi="Arial" w:cs="Arial"/>
          <w:b/>
          <w:sz w:val="22"/>
          <w:szCs w:val="22"/>
          <w:lang w:val="es-MX" w:eastAsia="es-MX"/>
        </w:rPr>
        <w:t>”</w:t>
      </w:r>
      <w:r w:rsidRPr="00AF6DB3">
        <w:rPr>
          <w:rFonts w:ascii="Arial" w:eastAsiaTheme="minorEastAsia" w:hAnsi="Arial" w:cs="Arial"/>
          <w:sz w:val="22"/>
          <w:szCs w:val="22"/>
          <w:lang w:val="es-MX" w:eastAsia="es-MX"/>
        </w:rPr>
        <w:t xml:space="preserve">, que contiene las modificaciones y adiciones aprobadas por la Comisión de Administración mediante acuerdo </w:t>
      </w:r>
      <w:r w:rsidRPr="00AF6DB3">
        <w:rPr>
          <w:rFonts w:ascii="Arial" w:eastAsiaTheme="minorEastAsia" w:hAnsi="Arial" w:cs="Arial"/>
          <w:b/>
          <w:sz w:val="22"/>
          <w:szCs w:val="22"/>
          <w:lang w:val="es-MX" w:eastAsia="es-MX"/>
        </w:rPr>
        <w:t>36</w:t>
      </w:r>
      <w:r>
        <w:rPr>
          <w:rFonts w:ascii="Arial" w:eastAsiaTheme="minorEastAsia" w:hAnsi="Arial" w:cs="Arial"/>
          <w:b/>
          <w:sz w:val="22"/>
          <w:szCs w:val="22"/>
          <w:lang w:val="es-MX" w:eastAsia="es-MX"/>
        </w:rPr>
        <w:t>7</w:t>
      </w:r>
      <w:r w:rsidRPr="00AF6DB3">
        <w:rPr>
          <w:rFonts w:ascii="Arial" w:eastAsiaTheme="minorEastAsia" w:hAnsi="Arial" w:cs="Arial"/>
          <w:b/>
          <w:sz w:val="22"/>
          <w:szCs w:val="22"/>
          <w:lang w:val="es-MX" w:eastAsia="es-MX"/>
        </w:rPr>
        <w:t>/</w:t>
      </w:r>
      <w:proofErr w:type="gramStart"/>
      <w:r w:rsidRPr="00AF6DB3">
        <w:rPr>
          <w:rFonts w:ascii="Arial" w:eastAsiaTheme="minorEastAsia" w:hAnsi="Arial" w:cs="Arial"/>
          <w:b/>
          <w:sz w:val="22"/>
          <w:szCs w:val="22"/>
          <w:lang w:val="es-MX" w:eastAsia="es-MX"/>
        </w:rPr>
        <w:t>S12(</w:t>
      </w:r>
      <w:proofErr w:type="gramEnd"/>
      <w:r w:rsidRPr="00AF6DB3">
        <w:rPr>
          <w:rFonts w:ascii="Arial" w:eastAsiaTheme="minorEastAsia" w:hAnsi="Arial" w:cs="Arial"/>
          <w:b/>
          <w:sz w:val="22"/>
          <w:szCs w:val="22"/>
          <w:lang w:val="es-MX" w:eastAsia="es-MX"/>
        </w:rPr>
        <w:t>9-XII-2014)</w:t>
      </w:r>
      <w:r w:rsidRPr="00AF6DB3">
        <w:rPr>
          <w:rFonts w:ascii="Arial" w:eastAsiaTheme="minorEastAsia" w:hAnsi="Arial" w:cs="Arial"/>
          <w:sz w:val="22"/>
          <w:szCs w:val="22"/>
          <w:lang w:val="es-MX" w:eastAsia="es-MX"/>
        </w:rPr>
        <w:t>, emitido en la Décima Segunda Sesión Ordinaria de 2014, que obra en los archivos de la Coordinación de Asuntos Jurídicos. DOY FE--------------------------------------------------------------------------------------------------------------------------------------------</w:t>
      </w:r>
      <w:r>
        <w:rPr>
          <w:rFonts w:ascii="Arial" w:eastAsiaTheme="minorEastAsia" w:hAnsi="Arial" w:cs="Arial"/>
          <w:sz w:val="22"/>
          <w:szCs w:val="22"/>
          <w:lang w:val="es-MX" w:eastAsia="es-MX"/>
        </w:rPr>
        <w:t>----------------------------------------------------------------</w:t>
      </w:r>
    </w:p>
    <w:p w:rsidR="00AF6DB3" w:rsidRPr="00AF6DB3" w:rsidRDefault="00AF6DB3" w:rsidP="00AF6DB3">
      <w:pPr>
        <w:spacing w:after="200" w:line="276" w:lineRule="auto"/>
        <w:jc w:val="both"/>
        <w:rPr>
          <w:rFonts w:ascii="Arial" w:eastAsiaTheme="minorEastAsia" w:hAnsi="Arial" w:cs="Arial"/>
          <w:sz w:val="22"/>
          <w:szCs w:val="22"/>
          <w:lang w:val="es-MX" w:eastAsia="es-MX"/>
        </w:rPr>
      </w:pPr>
    </w:p>
    <w:p w:rsidR="00AF6DB3" w:rsidRPr="00AF6DB3" w:rsidRDefault="00AF6DB3" w:rsidP="00AF6DB3">
      <w:pPr>
        <w:spacing w:after="200" w:line="276" w:lineRule="auto"/>
        <w:jc w:val="both"/>
        <w:rPr>
          <w:rFonts w:ascii="Arial" w:eastAsiaTheme="minorEastAsia" w:hAnsi="Arial" w:cs="Arial"/>
          <w:sz w:val="22"/>
          <w:szCs w:val="22"/>
          <w:lang w:val="es-MX" w:eastAsia="es-MX"/>
        </w:rPr>
      </w:pPr>
    </w:p>
    <w:p w:rsidR="00AF6DB3" w:rsidRPr="00AF6DB3" w:rsidRDefault="00AF6DB3" w:rsidP="00AF6DB3">
      <w:pPr>
        <w:spacing w:after="200" w:line="276" w:lineRule="auto"/>
        <w:jc w:val="both"/>
        <w:rPr>
          <w:rFonts w:ascii="Arial" w:eastAsiaTheme="minorEastAsia" w:hAnsi="Arial" w:cs="Arial"/>
          <w:sz w:val="22"/>
          <w:szCs w:val="22"/>
          <w:lang w:val="es-MX" w:eastAsia="es-MX"/>
        </w:rPr>
      </w:pPr>
      <w:r w:rsidRPr="00AF6DB3">
        <w:rPr>
          <w:rFonts w:ascii="Arial" w:eastAsiaTheme="minorEastAsia" w:hAnsi="Arial" w:cs="Arial"/>
          <w:sz w:val="22"/>
          <w:szCs w:val="22"/>
          <w:lang w:val="es-MX" w:eastAsia="es-MX"/>
        </w:rPr>
        <w:t>México, Distrito Federal, 8 de enero de 2015.------------------------------------------------------------</w:t>
      </w:r>
    </w:p>
    <w:p w:rsidR="00AF6DB3" w:rsidRPr="00AF6DB3" w:rsidRDefault="00AF6DB3" w:rsidP="00AF6DB3">
      <w:pPr>
        <w:spacing w:after="200" w:line="276" w:lineRule="auto"/>
        <w:jc w:val="both"/>
        <w:rPr>
          <w:rFonts w:ascii="Arial" w:eastAsiaTheme="minorEastAsia" w:hAnsi="Arial" w:cs="Arial"/>
          <w:sz w:val="22"/>
          <w:szCs w:val="22"/>
          <w:lang w:val="es-MX" w:eastAsia="es-MX"/>
        </w:rPr>
      </w:pPr>
    </w:p>
    <w:p w:rsidR="00AF6DB3" w:rsidRPr="00AF6DB3" w:rsidRDefault="00AF6DB3" w:rsidP="00AF6DB3">
      <w:pPr>
        <w:spacing w:after="200" w:line="276" w:lineRule="auto"/>
        <w:jc w:val="both"/>
        <w:rPr>
          <w:rFonts w:ascii="Arial" w:eastAsiaTheme="minorEastAsia" w:hAnsi="Arial" w:cs="Arial"/>
          <w:sz w:val="22"/>
          <w:szCs w:val="22"/>
          <w:lang w:val="es-MX" w:eastAsia="es-MX"/>
        </w:rPr>
      </w:pPr>
    </w:p>
    <w:p w:rsidR="00AF6DB3" w:rsidRPr="00AF6DB3" w:rsidRDefault="00AF6DB3" w:rsidP="00AF6DB3">
      <w:pPr>
        <w:spacing w:after="200" w:line="276" w:lineRule="auto"/>
        <w:jc w:val="center"/>
        <w:rPr>
          <w:rFonts w:ascii="Arial" w:eastAsiaTheme="minorEastAsia" w:hAnsi="Arial" w:cs="Arial"/>
          <w:b/>
          <w:sz w:val="22"/>
          <w:szCs w:val="22"/>
          <w:lang w:val="es-MX" w:eastAsia="es-MX"/>
        </w:rPr>
      </w:pPr>
      <w:r w:rsidRPr="00AF6DB3">
        <w:rPr>
          <w:rFonts w:ascii="Arial" w:eastAsiaTheme="minorEastAsia" w:hAnsi="Arial" w:cs="Arial"/>
          <w:b/>
          <w:sz w:val="22"/>
          <w:szCs w:val="22"/>
          <w:lang w:val="es-MX" w:eastAsia="es-MX"/>
        </w:rPr>
        <w:t>El SECRETARIO DE LA COMISIÓN DE ADMINISTRACIÓN</w:t>
      </w:r>
    </w:p>
    <w:p w:rsidR="00AF6DB3" w:rsidRPr="00AF6DB3" w:rsidRDefault="00AF6DB3" w:rsidP="00AF6DB3">
      <w:pPr>
        <w:spacing w:after="200" w:line="276" w:lineRule="auto"/>
        <w:jc w:val="center"/>
        <w:rPr>
          <w:rFonts w:ascii="Arial" w:eastAsiaTheme="minorEastAsia" w:hAnsi="Arial" w:cs="Arial"/>
          <w:b/>
          <w:sz w:val="22"/>
          <w:szCs w:val="22"/>
          <w:lang w:val="es-MX" w:eastAsia="es-MX"/>
        </w:rPr>
      </w:pPr>
      <w:r w:rsidRPr="00AF6DB3">
        <w:rPr>
          <w:rFonts w:ascii="Arial" w:eastAsiaTheme="minorEastAsia" w:hAnsi="Arial" w:cs="Arial"/>
          <w:b/>
          <w:sz w:val="22"/>
          <w:szCs w:val="22"/>
          <w:lang w:val="es-MX" w:eastAsia="es-MX"/>
        </w:rPr>
        <w:t>DEL TRIBUNAL ELECTORAL DEL PODER JUDICIAL DE LA FEDERACIÓN</w:t>
      </w:r>
    </w:p>
    <w:p w:rsidR="00AF6DB3" w:rsidRPr="00AF6DB3" w:rsidRDefault="00AF6DB3" w:rsidP="00AF6DB3">
      <w:pPr>
        <w:spacing w:after="200" w:line="276" w:lineRule="auto"/>
        <w:jc w:val="center"/>
        <w:rPr>
          <w:rFonts w:ascii="Arial" w:eastAsiaTheme="minorEastAsia" w:hAnsi="Arial" w:cs="Arial"/>
          <w:b/>
          <w:sz w:val="22"/>
          <w:szCs w:val="22"/>
          <w:lang w:val="es-MX" w:eastAsia="es-MX"/>
        </w:rPr>
      </w:pPr>
    </w:p>
    <w:p w:rsidR="00AF6DB3" w:rsidRPr="00AF6DB3" w:rsidRDefault="00AF6DB3" w:rsidP="00AF6DB3">
      <w:pPr>
        <w:spacing w:after="200" w:line="276" w:lineRule="auto"/>
        <w:jc w:val="center"/>
        <w:rPr>
          <w:rFonts w:ascii="Arial" w:eastAsiaTheme="minorEastAsia" w:hAnsi="Arial" w:cs="Arial"/>
          <w:b/>
          <w:sz w:val="22"/>
          <w:szCs w:val="22"/>
          <w:lang w:val="es-MX" w:eastAsia="es-MX"/>
        </w:rPr>
      </w:pPr>
    </w:p>
    <w:p w:rsidR="00AF6DB3" w:rsidRPr="00AF6DB3" w:rsidRDefault="00AF6DB3" w:rsidP="00AF6DB3">
      <w:pPr>
        <w:spacing w:after="200" w:line="276" w:lineRule="auto"/>
        <w:jc w:val="center"/>
        <w:rPr>
          <w:rFonts w:ascii="Arial" w:eastAsiaTheme="minorEastAsia" w:hAnsi="Arial" w:cs="Arial"/>
          <w:b/>
          <w:sz w:val="22"/>
          <w:szCs w:val="22"/>
          <w:lang w:val="es-MX" w:eastAsia="es-MX"/>
        </w:rPr>
      </w:pPr>
      <w:r w:rsidRPr="00AF6DB3">
        <w:rPr>
          <w:rFonts w:ascii="Arial" w:eastAsiaTheme="minorEastAsia" w:hAnsi="Arial" w:cs="Arial"/>
          <w:b/>
          <w:sz w:val="22"/>
          <w:szCs w:val="22"/>
          <w:lang w:val="es-MX" w:eastAsia="es-MX"/>
        </w:rPr>
        <w:t>LICENCIADO JORGE ENRIQUE MATA GÓMEZ</w:t>
      </w:r>
    </w:p>
    <w:p w:rsidR="00AF6DB3" w:rsidRPr="004E39E1" w:rsidRDefault="00AF6DB3" w:rsidP="00FD2BBE">
      <w:pPr>
        <w:jc w:val="center"/>
        <w:rPr>
          <w:sz w:val="22"/>
          <w:szCs w:val="22"/>
        </w:rPr>
      </w:pPr>
    </w:p>
    <w:sectPr w:rsidR="00AF6DB3" w:rsidRPr="004E39E1" w:rsidSect="00B75308">
      <w:headerReference w:type="even" r:id="rId8"/>
      <w:headerReference w:type="default" r:id="rId9"/>
      <w:footerReference w:type="even" r:id="rId10"/>
      <w:footerReference w:type="default" r:id="rId11"/>
      <w:headerReference w:type="first" r:id="rId12"/>
      <w:pgSz w:w="12242" w:h="15842" w:code="1"/>
      <w:pgMar w:top="1418" w:right="1701" w:bottom="1418" w:left="1701"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D5" w:rsidRDefault="00425CD5">
      <w:r>
        <w:separator/>
      </w:r>
    </w:p>
  </w:endnote>
  <w:endnote w:type="continuationSeparator" w:id="0">
    <w:p w:rsidR="00425CD5" w:rsidRDefault="0042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7D" w:rsidRDefault="009859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98597D" w:rsidRDefault="009859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7D" w:rsidRDefault="009859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6DB3">
      <w:rPr>
        <w:rStyle w:val="Nmerodepgina"/>
        <w:noProof/>
      </w:rPr>
      <w:t>17</w:t>
    </w:r>
    <w:r>
      <w:rPr>
        <w:rStyle w:val="Nmerodepgina"/>
      </w:rPr>
      <w:fldChar w:fldCharType="end"/>
    </w:r>
  </w:p>
  <w:p w:rsidR="0098597D" w:rsidRDefault="0098597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D5" w:rsidRDefault="00425CD5">
      <w:r>
        <w:separator/>
      </w:r>
    </w:p>
  </w:footnote>
  <w:footnote w:type="continuationSeparator" w:id="0">
    <w:p w:rsidR="00425CD5" w:rsidRDefault="0042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7D" w:rsidRDefault="009859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97D" w:rsidRDefault="009859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7D" w:rsidRDefault="0098597D">
    <w:pPr>
      <w:pStyle w:val="Encabezado"/>
    </w:pPr>
    <w:r>
      <w:rPr>
        <w:noProof/>
        <w:sz w:val="20"/>
        <w:lang w:val="es-MX" w:eastAsia="es-MX"/>
      </w:rPr>
      <w:drawing>
        <wp:anchor distT="0" distB="0" distL="114300" distR="114300" simplePos="0" relativeHeight="251658240" behindDoc="1" locked="0" layoutInCell="1" allowOverlap="1">
          <wp:simplePos x="0" y="0"/>
          <wp:positionH relativeFrom="column">
            <wp:posOffset>2540</wp:posOffset>
          </wp:positionH>
          <wp:positionV relativeFrom="paragraph">
            <wp:posOffset>27940</wp:posOffset>
          </wp:positionV>
          <wp:extent cx="1026160" cy="1002030"/>
          <wp:effectExtent l="19050" t="0" r="2540" b="0"/>
          <wp:wrapThrough wrapText="bothSides">
            <wp:wrapPolygon edited="0">
              <wp:start x="-401" y="0"/>
              <wp:lineTo x="-401" y="21354"/>
              <wp:lineTo x="21653" y="21354"/>
              <wp:lineTo x="21653" y="0"/>
              <wp:lineTo x="-40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6160" cy="1002030"/>
                  </a:xfrm>
                  <a:prstGeom prst="rect">
                    <a:avLst/>
                  </a:prstGeom>
                  <a:noFill/>
                  <a:ln w="9525">
                    <a:noFill/>
                    <a:miter lim="800000"/>
                    <a:headEnd/>
                    <a:tailEnd/>
                  </a:ln>
                </pic:spPr>
              </pic:pic>
            </a:graphicData>
          </a:graphic>
        </wp:anchor>
      </w:drawing>
    </w: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7D" w:rsidRDefault="0098597D">
    <w:pPr>
      <w:pStyle w:val="Encabezado"/>
    </w:pPr>
    <w:r>
      <w:rPr>
        <w:noProof/>
        <w:lang w:val="es-MX" w:eastAsia="es-MX"/>
      </w:rPr>
      <w:drawing>
        <wp:anchor distT="0" distB="0" distL="114300" distR="114300" simplePos="0" relativeHeight="251657216" behindDoc="1" locked="0" layoutInCell="1" allowOverlap="1">
          <wp:simplePos x="0" y="0"/>
          <wp:positionH relativeFrom="column">
            <wp:posOffset>40640</wp:posOffset>
          </wp:positionH>
          <wp:positionV relativeFrom="paragraph">
            <wp:posOffset>46990</wp:posOffset>
          </wp:positionV>
          <wp:extent cx="988060" cy="965200"/>
          <wp:effectExtent l="19050" t="0" r="2540" b="0"/>
          <wp:wrapThrough wrapText="bothSides">
            <wp:wrapPolygon edited="0">
              <wp:start x="-416" y="0"/>
              <wp:lineTo x="-416" y="21316"/>
              <wp:lineTo x="21656" y="21316"/>
              <wp:lineTo x="21656" y="0"/>
              <wp:lineTo x="-41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8060" cy="965200"/>
                  </a:xfrm>
                  <a:prstGeom prst="rect">
                    <a:avLst/>
                  </a:prstGeom>
                  <a:noFill/>
                  <a:ln w="9525">
                    <a:noFill/>
                    <a:miter lim="800000"/>
                    <a:headEnd/>
                    <a:tailEnd/>
                  </a:ln>
                </pic:spPr>
              </pic:pic>
            </a:graphicData>
          </a:graphic>
        </wp:anchor>
      </w:drawing>
    </w: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p w:rsidR="0098597D" w:rsidRDefault="009859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042"/>
    <w:multiLevelType w:val="hybridMultilevel"/>
    <w:tmpl w:val="15FE2730"/>
    <w:lvl w:ilvl="0" w:tplc="4B100102">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F503F2"/>
    <w:multiLevelType w:val="hybridMultilevel"/>
    <w:tmpl w:val="3A6804B6"/>
    <w:lvl w:ilvl="0" w:tplc="71984310">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060D1"/>
    <w:multiLevelType w:val="singleLevel"/>
    <w:tmpl w:val="8A0447A8"/>
    <w:lvl w:ilvl="0">
      <w:start w:val="1"/>
      <w:numFmt w:val="upperRoman"/>
      <w:lvlText w:val="%1."/>
      <w:lvlJc w:val="left"/>
      <w:pPr>
        <w:tabs>
          <w:tab w:val="num" w:pos="1620"/>
        </w:tabs>
        <w:ind w:left="1620" w:hanging="720"/>
      </w:pPr>
      <w:rPr>
        <w:rFonts w:hint="default"/>
        <w:b/>
        <w:i w:val="0"/>
        <w:sz w:val="18"/>
      </w:rPr>
    </w:lvl>
  </w:abstractNum>
  <w:abstractNum w:abstractNumId="3">
    <w:nsid w:val="0A406430"/>
    <w:multiLevelType w:val="hybridMultilevel"/>
    <w:tmpl w:val="35601968"/>
    <w:lvl w:ilvl="0" w:tplc="9AB24056">
      <w:start w:val="12"/>
      <w:numFmt w:val="upperRoman"/>
      <w:lvlText w:val="%1 bis."/>
      <w:lvlJc w:val="left"/>
      <w:pPr>
        <w:tabs>
          <w:tab w:val="num" w:pos="1620"/>
        </w:tabs>
        <w:ind w:left="1620" w:hanging="72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2B6D2D"/>
    <w:multiLevelType w:val="hybridMultilevel"/>
    <w:tmpl w:val="2B32A5A6"/>
    <w:lvl w:ilvl="0" w:tplc="01FEC968">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04DA1"/>
    <w:multiLevelType w:val="hybridMultilevel"/>
    <w:tmpl w:val="BEA8B2AE"/>
    <w:lvl w:ilvl="0" w:tplc="4302F830">
      <w:start w:val="1"/>
      <w:numFmt w:val="upperRoman"/>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3F3AC2"/>
    <w:multiLevelType w:val="singleLevel"/>
    <w:tmpl w:val="CEAAE2F0"/>
    <w:lvl w:ilvl="0">
      <w:start w:val="1"/>
      <w:numFmt w:val="upperRoman"/>
      <w:lvlText w:val="%1."/>
      <w:lvlJc w:val="left"/>
      <w:pPr>
        <w:tabs>
          <w:tab w:val="num" w:pos="1620"/>
        </w:tabs>
        <w:ind w:left="1620" w:hanging="720"/>
      </w:pPr>
      <w:rPr>
        <w:rFonts w:hint="default"/>
        <w:b/>
        <w:i w:val="0"/>
        <w:sz w:val="18"/>
      </w:rPr>
    </w:lvl>
  </w:abstractNum>
  <w:abstractNum w:abstractNumId="7">
    <w:nsid w:val="1DD80FFE"/>
    <w:multiLevelType w:val="hybridMultilevel"/>
    <w:tmpl w:val="3B8E11C2"/>
    <w:lvl w:ilvl="0" w:tplc="0AD60C6E">
      <w:start w:val="12"/>
      <w:numFmt w:val="upperRoman"/>
      <w:lvlText w:val="%1I."/>
      <w:lvlJc w:val="left"/>
      <w:pPr>
        <w:ind w:left="1620" w:hanging="360"/>
      </w:pPr>
      <w:rPr>
        <w:rFonts w:hint="default"/>
        <w:b/>
        <w:i w:val="0"/>
        <w:sz w:val="18"/>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8">
    <w:nsid w:val="1E804FC7"/>
    <w:multiLevelType w:val="singleLevel"/>
    <w:tmpl w:val="FC225E30"/>
    <w:lvl w:ilvl="0">
      <w:start w:val="1"/>
      <w:numFmt w:val="upperRoman"/>
      <w:lvlText w:val="%1."/>
      <w:lvlJc w:val="left"/>
      <w:pPr>
        <w:tabs>
          <w:tab w:val="num" w:pos="1620"/>
        </w:tabs>
        <w:ind w:left="1620" w:hanging="720"/>
      </w:pPr>
      <w:rPr>
        <w:rFonts w:hint="default"/>
        <w:b/>
        <w:i w:val="0"/>
        <w:sz w:val="18"/>
      </w:rPr>
    </w:lvl>
  </w:abstractNum>
  <w:abstractNum w:abstractNumId="9">
    <w:nsid w:val="1FA71100"/>
    <w:multiLevelType w:val="hybridMultilevel"/>
    <w:tmpl w:val="BF9E82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2DC11DC"/>
    <w:multiLevelType w:val="hybridMultilevel"/>
    <w:tmpl w:val="AFA0208C"/>
    <w:lvl w:ilvl="0" w:tplc="8E889164">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41F6093"/>
    <w:multiLevelType w:val="hybridMultilevel"/>
    <w:tmpl w:val="4AA29A04"/>
    <w:lvl w:ilvl="0" w:tplc="43F6C294">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4EA64B4"/>
    <w:multiLevelType w:val="hybridMultilevel"/>
    <w:tmpl w:val="18EA3CE4"/>
    <w:lvl w:ilvl="0" w:tplc="5BE25864">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546CA3"/>
    <w:multiLevelType w:val="hybridMultilevel"/>
    <w:tmpl w:val="E286CF7C"/>
    <w:lvl w:ilvl="0" w:tplc="15EA3A0C">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6D63D0"/>
    <w:multiLevelType w:val="hybridMultilevel"/>
    <w:tmpl w:val="F1E21B84"/>
    <w:lvl w:ilvl="0" w:tplc="7746336E">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9D77A5"/>
    <w:multiLevelType w:val="hybridMultilevel"/>
    <w:tmpl w:val="9A6490A0"/>
    <w:lvl w:ilvl="0" w:tplc="74545260">
      <w:start w:val="12"/>
      <w:numFmt w:val="upperRoman"/>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C476F6"/>
    <w:multiLevelType w:val="hybridMultilevel"/>
    <w:tmpl w:val="26480DC4"/>
    <w:lvl w:ilvl="0" w:tplc="33C0D0A8">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A6A2438"/>
    <w:multiLevelType w:val="hybridMultilevel"/>
    <w:tmpl w:val="726E4230"/>
    <w:lvl w:ilvl="0" w:tplc="C42E9DAC">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F932DD"/>
    <w:multiLevelType w:val="hybridMultilevel"/>
    <w:tmpl w:val="F26C9CB6"/>
    <w:lvl w:ilvl="0" w:tplc="0FB61204">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B612CD6"/>
    <w:multiLevelType w:val="hybridMultilevel"/>
    <w:tmpl w:val="AD3676AE"/>
    <w:lvl w:ilvl="0" w:tplc="6C5EBF90">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ECE16E7"/>
    <w:multiLevelType w:val="singleLevel"/>
    <w:tmpl w:val="8134504C"/>
    <w:lvl w:ilvl="0">
      <w:start w:val="1"/>
      <w:numFmt w:val="upperRoman"/>
      <w:pStyle w:val="Ttulo1"/>
      <w:lvlText w:val="%1."/>
      <w:lvlJc w:val="left"/>
      <w:pPr>
        <w:tabs>
          <w:tab w:val="num" w:pos="720"/>
        </w:tabs>
        <w:ind w:left="720" w:hanging="720"/>
      </w:pPr>
    </w:lvl>
  </w:abstractNum>
  <w:abstractNum w:abstractNumId="21">
    <w:nsid w:val="3F2412CB"/>
    <w:multiLevelType w:val="hybridMultilevel"/>
    <w:tmpl w:val="4C142C72"/>
    <w:lvl w:ilvl="0" w:tplc="DBFC0CD4">
      <w:start w:val="14"/>
      <w:numFmt w:val="upperRoman"/>
      <w:lvlText w:val="%1."/>
      <w:lvlJc w:val="left"/>
      <w:pPr>
        <w:ind w:left="16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145D49"/>
    <w:multiLevelType w:val="hybridMultilevel"/>
    <w:tmpl w:val="1D00D892"/>
    <w:lvl w:ilvl="0" w:tplc="FCACE6BC">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5E26A2"/>
    <w:multiLevelType w:val="hybridMultilevel"/>
    <w:tmpl w:val="9654ACF2"/>
    <w:lvl w:ilvl="0" w:tplc="9AB24056">
      <w:start w:val="12"/>
      <w:numFmt w:val="upperRoman"/>
      <w:lvlText w:val="%1 bis."/>
      <w:lvlJc w:val="left"/>
      <w:pPr>
        <w:tabs>
          <w:tab w:val="num" w:pos="3240"/>
        </w:tabs>
        <w:ind w:left="3240" w:hanging="720"/>
      </w:pPr>
      <w:rPr>
        <w:rFonts w:hint="default"/>
        <w:b/>
        <w:i w:val="0"/>
        <w:sz w:val="18"/>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FE6B87"/>
    <w:multiLevelType w:val="singleLevel"/>
    <w:tmpl w:val="4302F830"/>
    <w:lvl w:ilvl="0">
      <w:start w:val="1"/>
      <w:numFmt w:val="upperRoman"/>
      <w:lvlText w:val="%1."/>
      <w:lvlJc w:val="left"/>
      <w:pPr>
        <w:tabs>
          <w:tab w:val="num" w:pos="1620"/>
        </w:tabs>
        <w:ind w:left="1620" w:hanging="720"/>
      </w:pPr>
      <w:rPr>
        <w:rFonts w:hint="default"/>
        <w:b/>
        <w:i w:val="0"/>
        <w:sz w:val="18"/>
      </w:rPr>
    </w:lvl>
  </w:abstractNum>
  <w:abstractNum w:abstractNumId="25">
    <w:nsid w:val="4B971CAA"/>
    <w:multiLevelType w:val="hybridMultilevel"/>
    <w:tmpl w:val="DB9468D2"/>
    <w:lvl w:ilvl="0" w:tplc="4302F830">
      <w:start w:val="1"/>
      <w:numFmt w:val="upperRoman"/>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555E29"/>
    <w:multiLevelType w:val="hybridMultilevel"/>
    <w:tmpl w:val="19183174"/>
    <w:lvl w:ilvl="0" w:tplc="36E2D62A">
      <w:start w:val="12"/>
      <w:numFmt w:val="upperRoman"/>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082C18"/>
    <w:multiLevelType w:val="hybridMultilevel"/>
    <w:tmpl w:val="B2EA4344"/>
    <w:lvl w:ilvl="0" w:tplc="E7B0FDC8">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835FD5"/>
    <w:multiLevelType w:val="hybridMultilevel"/>
    <w:tmpl w:val="800A7C98"/>
    <w:lvl w:ilvl="0" w:tplc="2892EFB6">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3083138"/>
    <w:multiLevelType w:val="hybridMultilevel"/>
    <w:tmpl w:val="C75C980A"/>
    <w:lvl w:ilvl="0" w:tplc="3880CDBE">
      <w:start w:val="14"/>
      <w:numFmt w:val="upperRoman"/>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67579F"/>
    <w:multiLevelType w:val="hybridMultilevel"/>
    <w:tmpl w:val="6B30A318"/>
    <w:lvl w:ilvl="0" w:tplc="7FE2963A">
      <w:start w:val="3"/>
      <w:numFmt w:val="upperRoman"/>
      <w:lvlText w:val="%1."/>
      <w:lvlJc w:val="left"/>
      <w:pPr>
        <w:tabs>
          <w:tab w:val="num" w:pos="1620"/>
        </w:tabs>
        <w:ind w:left="1620" w:hanging="72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402077"/>
    <w:multiLevelType w:val="hybridMultilevel"/>
    <w:tmpl w:val="7936AC22"/>
    <w:lvl w:ilvl="0" w:tplc="369EC128">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D97260E"/>
    <w:multiLevelType w:val="hybridMultilevel"/>
    <w:tmpl w:val="1B62C1E0"/>
    <w:lvl w:ilvl="0" w:tplc="C42E9DAC">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E7E5B7F"/>
    <w:multiLevelType w:val="singleLevel"/>
    <w:tmpl w:val="990C0220"/>
    <w:lvl w:ilvl="0">
      <w:start w:val="1"/>
      <w:numFmt w:val="upperRoman"/>
      <w:lvlText w:val="%1."/>
      <w:lvlJc w:val="left"/>
      <w:pPr>
        <w:tabs>
          <w:tab w:val="num" w:pos="1620"/>
        </w:tabs>
        <w:ind w:left="1620" w:hanging="720"/>
      </w:pPr>
      <w:rPr>
        <w:rFonts w:hint="default"/>
        <w:b/>
        <w:i w:val="0"/>
        <w:sz w:val="18"/>
      </w:rPr>
    </w:lvl>
  </w:abstractNum>
  <w:abstractNum w:abstractNumId="34">
    <w:nsid w:val="62581CD6"/>
    <w:multiLevelType w:val="hybridMultilevel"/>
    <w:tmpl w:val="DECCD740"/>
    <w:lvl w:ilvl="0" w:tplc="74545260">
      <w:start w:val="12"/>
      <w:numFmt w:val="upperRoman"/>
      <w:lvlText w:val="%1."/>
      <w:lvlJc w:val="left"/>
      <w:pPr>
        <w:ind w:left="1260" w:hanging="360"/>
      </w:pPr>
      <w:rPr>
        <w:rFonts w:hint="default"/>
        <w:b/>
        <w:i w:val="0"/>
        <w:sz w:val="18"/>
      </w:rPr>
    </w:lvl>
    <w:lvl w:ilvl="1" w:tplc="080A0019" w:tentative="1">
      <w:start w:val="1"/>
      <w:numFmt w:val="lowerLetter"/>
      <w:lvlText w:val="%2."/>
      <w:lvlJc w:val="left"/>
      <w:pPr>
        <w:ind w:left="1440" w:hanging="360"/>
      </w:pPr>
    </w:lvl>
    <w:lvl w:ilvl="2" w:tplc="4302F830">
      <w:start w:val="1"/>
      <w:numFmt w:val="upperRoman"/>
      <w:lvlText w:val="%3."/>
      <w:lvlJc w:val="left"/>
      <w:pPr>
        <w:ind w:left="2160" w:hanging="180"/>
      </w:pPr>
      <w:rPr>
        <w:rFonts w:hint="default"/>
        <w:b/>
        <w:i w:val="0"/>
        <w:sz w:val="18"/>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C674F5"/>
    <w:multiLevelType w:val="singleLevel"/>
    <w:tmpl w:val="F7DC5EDE"/>
    <w:lvl w:ilvl="0">
      <w:start w:val="1"/>
      <w:numFmt w:val="upperRoman"/>
      <w:lvlText w:val="%1."/>
      <w:lvlJc w:val="left"/>
      <w:pPr>
        <w:tabs>
          <w:tab w:val="num" w:pos="1620"/>
        </w:tabs>
        <w:ind w:left="1620" w:hanging="720"/>
      </w:pPr>
      <w:rPr>
        <w:rFonts w:hint="default"/>
        <w:b/>
        <w:i w:val="0"/>
        <w:sz w:val="18"/>
      </w:rPr>
    </w:lvl>
  </w:abstractNum>
  <w:abstractNum w:abstractNumId="36">
    <w:nsid w:val="677244AD"/>
    <w:multiLevelType w:val="hybridMultilevel"/>
    <w:tmpl w:val="ADC61CB0"/>
    <w:lvl w:ilvl="0" w:tplc="2390BE0E">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79C1E03"/>
    <w:multiLevelType w:val="hybridMultilevel"/>
    <w:tmpl w:val="1D0E29BC"/>
    <w:lvl w:ilvl="0" w:tplc="AA342EB2">
      <w:start w:val="12"/>
      <w:numFmt w:val="upperRoman"/>
      <w:lvlText w:val="%1."/>
      <w:lvlJc w:val="left"/>
      <w:pPr>
        <w:ind w:left="2342" w:hanging="360"/>
      </w:pPr>
      <w:rPr>
        <w:rFonts w:hint="default"/>
        <w:b/>
        <w:i w:val="0"/>
        <w:sz w:val="18"/>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220484"/>
    <w:multiLevelType w:val="hybridMultilevel"/>
    <w:tmpl w:val="C9568D10"/>
    <w:lvl w:ilvl="0" w:tplc="DBF85FF0">
      <w:start w:val="1"/>
      <w:numFmt w:val="upperRoman"/>
      <w:lvlText w:val="%1."/>
      <w:lvlJc w:val="left"/>
      <w:pPr>
        <w:tabs>
          <w:tab w:val="num" w:pos="1620"/>
        </w:tabs>
        <w:ind w:left="1620" w:hanging="72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8"/>
  </w:num>
  <w:num w:numId="4">
    <w:abstractNumId w:val="35"/>
  </w:num>
  <w:num w:numId="5">
    <w:abstractNumId w:val="2"/>
  </w:num>
  <w:num w:numId="6">
    <w:abstractNumId w:val="33"/>
  </w:num>
  <w:num w:numId="7">
    <w:abstractNumId w:val="6"/>
  </w:num>
  <w:num w:numId="8">
    <w:abstractNumId w:val="17"/>
  </w:num>
  <w:num w:numId="9">
    <w:abstractNumId w:val="32"/>
  </w:num>
  <w:num w:numId="10">
    <w:abstractNumId w:val="36"/>
  </w:num>
  <w:num w:numId="11">
    <w:abstractNumId w:val="22"/>
  </w:num>
  <w:num w:numId="12">
    <w:abstractNumId w:val="27"/>
  </w:num>
  <w:num w:numId="13">
    <w:abstractNumId w:val="18"/>
  </w:num>
  <w:num w:numId="14">
    <w:abstractNumId w:val="12"/>
  </w:num>
  <w:num w:numId="15">
    <w:abstractNumId w:val="14"/>
  </w:num>
  <w:num w:numId="16">
    <w:abstractNumId w:val="38"/>
  </w:num>
  <w:num w:numId="17">
    <w:abstractNumId w:val="28"/>
  </w:num>
  <w:num w:numId="18">
    <w:abstractNumId w:val="1"/>
  </w:num>
  <w:num w:numId="19">
    <w:abstractNumId w:val="13"/>
  </w:num>
  <w:num w:numId="20">
    <w:abstractNumId w:val="11"/>
  </w:num>
  <w:num w:numId="21">
    <w:abstractNumId w:val="31"/>
  </w:num>
  <w:num w:numId="22">
    <w:abstractNumId w:val="16"/>
  </w:num>
  <w:num w:numId="23">
    <w:abstractNumId w:val="10"/>
  </w:num>
  <w:num w:numId="24">
    <w:abstractNumId w:val="4"/>
  </w:num>
  <w:num w:numId="25">
    <w:abstractNumId w:val="19"/>
  </w:num>
  <w:num w:numId="26">
    <w:abstractNumId w:val="0"/>
  </w:num>
  <w:num w:numId="27">
    <w:abstractNumId w:val="9"/>
  </w:num>
  <w:num w:numId="28">
    <w:abstractNumId w:val="3"/>
  </w:num>
  <w:num w:numId="29">
    <w:abstractNumId w:val="30"/>
  </w:num>
  <w:num w:numId="30">
    <w:abstractNumId w:val="23"/>
  </w:num>
  <w:num w:numId="31">
    <w:abstractNumId w:val="34"/>
  </w:num>
  <w:num w:numId="32">
    <w:abstractNumId w:val="5"/>
  </w:num>
  <w:num w:numId="33">
    <w:abstractNumId w:val="7"/>
  </w:num>
  <w:num w:numId="34">
    <w:abstractNumId w:val="37"/>
  </w:num>
  <w:num w:numId="35">
    <w:abstractNumId w:val="21"/>
  </w:num>
  <w:num w:numId="36">
    <w:abstractNumId w:val="15"/>
  </w:num>
  <w:num w:numId="37">
    <w:abstractNumId w:val="26"/>
  </w:num>
  <w:num w:numId="38">
    <w:abstractNumId w:val="25"/>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s-ES" w:vendorID="9" w:dllVersion="512" w:checkStyle="1"/>
  <w:proofState w:spelling="clean" w:grammar="clean"/>
  <w:defaultTabStop w:val="706"/>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56"/>
    <w:rsid w:val="00042290"/>
    <w:rsid w:val="0006407B"/>
    <w:rsid w:val="000D031B"/>
    <w:rsid w:val="000D7A04"/>
    <w:rsid w:val="00132EEE"/>
    <w:rsid w:val="00166A4E"/>
    <w:rsid w:val="001A463A"/>
    <w:rsid w:val="001E7BB0"/>
    <w:rsid w:val="001F545D"/>
    <w:rsid w:val="00212D9B"/>
    <w:rsid w:val="00221BB1"/>
    <w:rsid w:val="00223D65"/>
    <w:rsid w:val="00347643"/>
    <w:rsid w:val="003E2013"/>
    <w:rsid w:val="003E2B62"/>
    <w:rsid w:val="003F58F1"/>
    <w:rsid w:val="00425CD5"/>
    <w:rsid w:val="00441E95"/>
    <w:rsid w:val="00487DF6"/>
    <w:rsid w:val="004953F9"/>
    <w:rsid w:val="004E2CB8"/>
    <w:rsid w:val="004E39E1"/>
    <w:rsid w:val="004F3C7D"/>
    <w:rsid w:val="0050684C"/>
    <w:rsid w:val="00606DE0"/>
    <w:rsid w:val="006374CC"/>
    <w:rsid w:val="006419F9"/>
    <w:rsid w:val="006763B1"/>
    <w:rsid w:val="00697334"/>
    <w:rsid w:val="00720356"/>
    <w:rsid w:val="00721372"/>
    <w:rsid w:val="00730EFA"/>
    <w:rsid w:val="007402F9"/>
    <w:rsid w:val="007D701D"/>
    <w:rsid w:val="008150E4"/>
    <w:rsid w:val="00827001"/>
    <w:rsid w:val="00850B2B"/>
    <w:rsid w:val="008D673E"/>
    <w:rsid w:val="008E0C2E"/>
    <w:rsid w:val="008E3341"/>
    <w:rsid w:val="00927970"/>
    <w:rsid w:val="00930089"/>
    <w:rsid w:val="00961349"/>
    <w:rsid w:val="0098597D"/>
    <w:rsid w:val="009F0D77"/>
    <w:rsid w:val="009F4E55"/>
    <w:rsid w:val="00A00141"/>
    <w:rsid w:val="00A063BE"/>
    <w:rsid w:val="00AA5B11"/>
    <w:rsid w:val="00AD6CE8"/>
    <w:rsid w:val="00AF6DB3"/>
    <w:rsid w:val="00B13AB2"/>
    <w:rsid w:val="00B33C38"/>
    <w:rsid w:val="00B35889"/>
    <w:rsid w:val="00B41EDB"/>
    <w:rsid w:val="00B75308"/>
    <w:rsid w:val="00BA046E"/>
    <w:rsid w:val="00BA0B4D"/>
    <w:rsid w:val="00BA0C96"/>
    <w:rsid w:val="00C21D98"/>
    <w:rsid w:val="00C568FB"/>
    <w:rsid w:val="00CA5560"/>
    <w:rsid w:val="00CC4D0A"/>
    <w:rsid w:val="00D41995"/>
    <w:rsid w:val="00DE162A"/>
    <w:rsid w:val="00DE6D40"/>
    <w:rsid w:val="00DF4FF3"/>
    <w:rsid w:val="00E90DB8"/>
    <w:rsid w:val="00EC3807"/>
    <w:rsid w:val="00ED6A26"/>
    <w:rsid w:val="00EF38C1"/>
    <w:rsid w:val="00F4184F"/>
    <w:rsid w:val="00F64ED6"/>
    <w:rsid w:val="00F70C34"/>
    <w:rsid w:val="00FC148E"/>
    <w:rsid w:val="00FD2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08"/>
    <w:rPr>
      <w:sz w:val="24"/>
      <w:szCs w:val="24"/>
      <w:lang w:val="es-ES" w:eastAsia="es-ES"/>
    </w:rPr>
  </w:style>
  <w:style w:type="paragraph" w:styleId="Ttulo1">
    <w:name w:val="heading 1"/>
    <w:basedOn w:val="Normal"/>
    <w:next w:val="Normal"/>
    <w:qFormat/>
    <w:rsid w:val="00B75308"/>
    <w:pPr>
      <w:keepNext/>
      <w:numPr>
        <w:numId w:val="1"/>
      </w:numPr>
      <w:jc w:val="both"/>
      <w:outlineLvl w:val="0"/>
    </w:pPr>
    <w:rPr>
      <w:rFonts w:ascii="Tahoma" w:hAnsi="Tahoma"/>
      <w:sz w:val="22"/>
      <w:u w:val="single"/>
    </w:rPr>
  </w:style>
  <w:style w:type="paragraph" w:styleId="Ttulo2">
    <w:name w:val="heading 2"/>
    <w:basedOn w:val="Normal"/>
    <w:next w:val="Normal"/>
    <w:qFormat/>
    <w:rsid w:val="00B75308"/>
    <w:pPr>
      <w:keepNext/>
      <w:jc w:val="center"/>
      <w:outlineLvl w:val="1"/>
    </w:pPr>
    <w:rPr>
      <w:rFonts w:ascii="Tahoma" w:hAnsi="Tahoma"/>
      <w:b/>
      <w:color w:val="FF0000"/>
      <w:sz w:val="22"/>
      <w:lang w:val="es-MX"/>
    </w:rPr>
  </w:style>
  <w:style w:type="paragraph" w:styleId="Ttulo3">
    <w:name w:val="heading 3"/>
    <w:basedOn w:val="Normal"/>
    <w:next w:val="Normal"/>
    <w:qFormat/>
    <w:rsid w:val="00B75308"/>
    <w:pPr>
      <w:keepNext/>
      <w:jc w:val="both"/>
      <w:outlineLvl w:val="2"/>
    </w:pPr>
    <w:rPr>
      <w:rFonts w:ascii="Tahoma" w:hAnsi="Tahoma"/>
      <w:sz w:val="22"/>
      <w:u w:val="single"/>
      <w:lang w:val="es-MX"/>
    </w:rPr>
  </w:style>
  <w:style w:type="paragraph" w:styleId="Ttulo4">
    <w:name w:val="heading 4"/>
    <w:basedOn w:val="Normal"/>
    <w:next w:val="Normal"/>
    <w:qFormat/>
    <w:rsid w:val="00B75308"/>
    <w:pPr>
      <w:keepNext/>
      <w:spacing w:line="360" w:lineRule="auto"/>
      <w:jc w:val="center"/>
      <w:outlineLvl w:val="3"/>
    </w:pPr>
    <w:rPr>
      <w:rFonts w:ascii="Arial" w:hAnsi="Arial" w:cs="Arial"/>
      <w:b/>
      <w:sz w:val="32"/>
      <w:szCs w:val="28"/>
      <w:lang w:val="es-MX"/>
    </w:rPr>
  </w:style>
  <w:style w:type="paragraph" w:styleId="Ttulo5">
    <w:name w:val="heading 5"/>
    <w:basedOn w:val="Normal"/>
    <w:next w:val="Normal"/>
    <w:qFormat/>
    <w:rsid w:val="00B75308"/>
    <w:pPr>
      <w:keepNext/>
      <w:jc w:val="center"/>
      <w:outlineLvl w:val="4"/>
    </w:pPr>
    <w:rPr>
      <w:rFonts w:ascii="Arial" w:hAnsi="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rsid w:val="00B75308"/>
    <w:pPr>
      <w:jc w:val="both"/>
    </w:pPr>
    <w:rPr>
      <w:rFonts w:ascii="Tahoma" w:hAnsi="Tahoma"/>
      <w:b/>
      <w:sz w:val="22"/>
      <w:lang w:val="es-MX"/>
    </w:rPr>
  </w:style>
  <w:style w:type="paragraph" w:styleId="Textoindependiente">
    <w:name w:val="Body Text"/>
    <w:basedOn w:val="Normal"/>
    <w:semiHidden/>
    <w:rsid w:val="00B75308"/>
    <w:pPr>
      <w:jc w:val="both"/>
    </w:pPr>
    <w:rPr>
      <w:szCs w:val="20"/>
      <w:lang w:val="es-MX"/>
    </w:rPr>
  </w:style>
  <w:style w:type="paragraph" w:styleId="Encabezado">
    <w:name w:val="header"/>
    <w:basedOn w:val="Normal"/>
    <w:semiHidden/>
    <w:rsid w:val="00B75308"/>
    <w:pPr>
      <w:tabs>
        <w:tab w:val="center" w:pos="4419"/>
        <w:tab w:val="right" w:pos="8838"/>
      </w:tabs>
    </w:pPr>
  </w:style>
  <w:style w:type="paragraph" w:styleId="Piedepgina">
    <w:name w:val="footer"/>
    <w:basedOn w:val="Normal"/>
    <w:semiHidden/>
    <w:rsid w:val="00B75308"/>
    <w:pPr>
      <w:tabs>
        <w:tab w:val="center" w:pos="4419"/>
        <w:tab w:val="right" w:pos="8838"/>
      </w:tabs>
    </w:pPr>
  </w:style>
  <w:style w:type="paragraph" w:styleId="Textoindependiente3">
    <w:name w:val="Body Text 3"/>
    <w:basedOn w:val="Normal"/>
    <w:semiHidden/>
    <w:rsid w:val="00B75308"/>
    <w:pPr>
      <w:jc w:val="both"/>
    </w:pPr>
    <w:rPr>
      <w:rFonts w:ascii="Arial" w:hAnsi="Arial"/>
      <w:sz w:val="22"/>
    </w:rPr>
  </w:style>
  <w:style w:type="character" w:styleId="Nmerodepgina">
    <w:name w:val="page number"/>
    <w:basedOn w:val="Fuentedeprrafopredeter"/>
    <w:semiHidden/>
    <w:rsid w:val="00B75308"/>
  </w:style>
  <w:style w:type="paragraph" w:styleId="NormalWeb">
    <w:name w:val="Normal (Web)"/>
    <w:basedOn w:val="Normal"/>
    <w:semiHidden/>
    <w:rsid w:val="00B75308"/>
    <w:pPr>
      <w:spacing w:before="100" w:after="100"/>
    </w:pPr>
  </w:style>
  <w:style w:type="paragraph" w:styleId="Sangradetextonormal">
    <w:name w:val="Body Text Indent"/>
    <w:basedOn w:val="Normal"/>
    <w:semiHidden/>
    <w:rsid w:val="00B75308"/>
    <w:pPr>
      <w:ind w:left="1620"/>
      <w:jc w:val="both"/>
    </w:pPr>
    <w:rPr>
      <w:rFonts w:ascii="Tahoma" w:hAnsi="Tahoma"/>
      <w:sz w:val="22"/>
      <w:lang w:val="es-MX"/>
    </w:rPr>
  </w:style>
  <w:style w:type="paragraph" w:styleId="Textodeglobo">
    <w:name w:val="Balloon Text"/>
    <w:basedOn w:val="Normal"/>
    <w:semiHidden/>
    <w:rsid w:val="00B75308"/>
    <w:rPr>
      <w:rFonts w:ascii="Tahoma" w:hAnsi="Tahoma" w:cs="Tahoma"/>
      <w:sz w:val="16"/>
      <w:szCs w:val="16"/>
    </w:rPr>
  </w:style>
  <w:style w:type="character" w:styleId="Refdecomentario">
    <w:name w:val="annotation reference"/>
    <w:basedOn w:val="Fuentedeprrafopredeter"/>
    <w:semiHidden/>
    <w:rsid w:val="00B75308"/>
    <w:rPr>
      <w:sz w:val="16"/>
      <w:szCs w:val="16"/>
    </w:rPr>
  </w:style>
  <w:style w:type="paragraph" w:styleId="Textocomentario">
    <w:name w:val="annotation text"/>
    <w:basedOn w:val="Normal"/>
    <w:semiHidden/>
    <w:rsid w:val="00B75308"/>
    <w:rPr>
      <w:sz w:val="20"/>
      <w:szCs w:val="20"/>
    </w:rPr>
  </w:style>
  <w:style w:type="paragraph" w:styleId="Asuntodelcomentario">
    <w:name w:val="annotation subject"/>
    <w:basedOn w:val="Textocomentario"/>
    <w:next w:val="Textocomentario"/>
    <w:semiHidden/>
    <w:rsid w:val="00B75308"/>
    <w:rPr>
      <w:b/>
      <w:bCs/>
    </w:rPr>
  </w:style>
  <w:style w:type="paragraph" w:styleId="Sangra2detindependiente">
    <w:name w:val="Body Text Indent 2"/>
    <w:basedOn w:val="Normal"/>
    <w:semiHidden/>
    <w:rsid w:val="00B75308"/>
    <w:pPr>
      <w:spacing w:line="360" w:lineRule="auto"/>
      <w:ind w:firstLine="1440"/>
      <w:jc w:val="both"/>
    </w:pPr>
    <w:rPr>
      <w:rFonts w:ascii="Arial" w:hAnsi="Arial" w:cs="Arial"/>
      <w:sz w:val="28"/>
      <w:szCs w:val="28"/>
      <w:lang w:val="es-MX"/>
    </w:rPr>
  </w:style>
  <w:style w:type="paragraph" w:styleId="Sangra3detindependiente">
    <w:name w:val="Body Text Indent 3"/>
    <w:basedOn w:val="Normal"/>
    <w:semiHidden/>
    <w:rsid w:val="00B75308"/>
    <w:pPr>
      <w:spacing w:line="360" w:lineRule="auto"/>
      <w:ind w:left="900"/>
      <w:jc w:val="both"/>
    </w:pPr>
    <w:rPr>
      <w:rFonts w:ascii="Arial" w:hAnsi="Arial"/>
      <w:sz w:val="28"/>
    </w:rPr>
  </w:style>
  <w:style w:type="paragraph" w:customStyle="1" w:styleId="Texto">
    <w:name w:val="Texto"/>
    <w:basedOn w:val="Normal"/>
    <w:rsid w:val="00B13AB2"/>
    <w:pPr>
      <w:spacing w:after="101" w:line="216" w:lineRule="exact"/>
      <w:ind w:firstLine="288"/>
      <w:jc w:val="both"/>
    </w:pPr>
    <w:rPr>
      <w:rFonts w:ascii="Arial" w:hAnsi="Arial" w:cs="Arial"/>
      <w:sz w:val="18"/>
      <w:szCs w:val="20"/>
    </w:rPr>
  </w:style>
  <w:style w:type="paragraph" w:styleId="Textodebloque">
    <w:name w:val="Block Text"/>
    <w:basedOn w:val="Normal"/>
    <w:uiPriority w:val="99"/>
    <w:rsid w:val="00FD2BBE"/>
    <w:pPr>
      <w:spacing w:after="100" w:afterAutospacing="1"/>
      <w:ind w:left="284" w:right="215"/>
      <w:jc w:val="both"/>
    </w:pPr>
    <w:rPr>
      <w:rFonts w:ascii="Arial" w:eastAsia="MS Mincho" w:hAnsi="Arial"/>
    </w:rPr>
  </w:style>
  <w:style w:type="paragraph" w:styleId="Sinespaciado">
    <w:name w:val="No Spacing"/>
    <w:uiPriority w:val="1"/>
    <w:qFormat/>
    <w:rsid w:val="00221BB1"/>
    <w:rPr>
      <w:sz w:val="24"/>
      <w:szCs w:val="24"/>
    </w:rPr>
  </w:style>
  <w:style w:type="paragraph" w:styleId="Prrafodelista">
    <w:name w:val="List Paragraph"/>
    <w:basedOn w:val="Normal"/>
    <w:uiPriority w:val="34"/>
    <w:qFormat/>
    <w:rsid w:val="00F64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08"/>
    <w:rPr>
      <w:sz w:val="24"/>
      <w:szCs w:val="24"/>
      <w:lang w:val="es-ES" w:eastAsia="es-ES"/>
    </w:rPr>
  </w:style>
  <w:style w:type="paragraph" w:styleId="Ttulo1">
    <w:name w:val="heading 1"/>
    <w:basedOn w:val="Normal"/>
    <w:next w:val="Normal"/>
    <w:qFormat/>
    <w:rsid w:val="00B75308"/>
    <w:pPr>
      <w:keepNext/>
      <w:numPr>
        <w:numId w:val="1"/>
      </w:numPr>
      <w:jc w:val="both"/>
      <w:outlineLvl w:val="0"/>
    </w:pPr>
    <w:rPr>
      <w:rFonts w:ascii="Tahoma" w:hAnsi="Tahoma"/>
      <w:sz w:val="22"/>
      <w:u w:val="single"/>
    </w:rPr>
  </w:style>
  <w:style w:type="paragraph" w:styleId="Ttulo2">
    <w:name w:val="heading 2"/>
    <w:basedOn w:val="Normal"/>
    <w:next w:val="Normal"/>
    <w:qFormat/>
    <w:rsid w:val="00B75308"/>
    <w:pPr>
      <w:keepNext/>
      <w:jc w:val="center"/>
      <w:outlineLvl w:val="1"/>
    </w:pPr>
    <w:rPr>
      <w:rFonts w:ascii="Tahoma" w:hAnsi="Tahoma"/>
      <w:b/>
      <w:color w:val="FF0000"/>
      <w:sz w:val="22"/>
      <w:lang w:val="es-MX"/>
    </w:rPr>
  </w:style>
  <w:style w:type="paragraph" w:styleId="Ttulo3">
    <w:name w:val="heading 3"/>
    <w:basedOn w:val="Normal"/>
    <w:next w:val="Normal"/>
    <w:qFormat/>
    <w:rsid w:val="00B75308"/>
    <w:pPr>
      <w:keepNext/>
      <w:jc w:val="both"/>
      <w:outlineLvl w:val="2"/>
    </w:pPr>
    <w:rPr>
      <w:rFonts w:ascii="Tahoma" w:hAnsi="Tahoma"/>
      <w:sz w:val="22"/>
      <w:u w:val="single"/>
      <w:lang w:val="es-MX"/>
    </w:rPr>
  </w:style>
  <w:style w:type="paragraph" w:styleId="Ttulo4">
    <w:name w:val="heading 4"/>
    <w:basedOn w:val="Normal"/>
    <w:next w:val="Normal"/>
    <w:qFormat/>
    <w:rsid w:val="00B75308"/>
    <w:pPr>
      <w:keepNext/>
      <w:spacing w:line="360" w:lineRule="auto"/>
      <w:jc w:val="center"/>
      <w:outlineLvl w:val="3"/>
    </w:pPr>
    <w:rPr>
      <w:rFonts w:ascii="Arial" w:hAnsi="Arial" w:cs="Arial"/>
      <w:b/>
      <w:sz w:val="32"/>
      <w:szCs w:val="28"/>
      <w:lang w:val="es-MX"/>
    </w:rPr>
  </w:style>
  <w:style w:type="paragraph" w:styleId="Ttulo5">
    <w:name w:val="heading 5"/>
    <w:basedOn w:val="Normal"/>
    <w:next w:val="Normal"/>
    <w:qFormat/>
    <w:rsid w:val="00B75308"/>
    <w:pPr>
      <w:keepNext/>
      <w:jc w:val="center"/>
      <w:outlineLvl w:val="4"/>
    </w:pPr>
    <w:rPr>
      <w:rFonts w:ascii="Arial" w:hAnsi="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rsid w:val="00B75308"/>
    <w:pPr>
      <w:jc w:val="both"/>
    </w:pPr>
    <w:rPr>
      <w:rFonts w:ascii="Tahoma" w:hAnsi="Tahoma"/>
      <w:b/>
      <w:sz w:val="22"/>
      <w:lang w:val="es-MX"/>
    </w:rPr>
  </w:style>
  <w:style w:type="paragraph" w:styleId="Textoindependiente">
    <w:name w:val="Body Text"/>
    <w:basedOn w:val="Normal"/>
    <w:semiHidden/>
    <w:rsid w:val="00B75308"/>
    <w:pPr>
      <w:jc w:val="both"/>
    </w:pPr>
    <w:rPr>
      <w:szCs w:val="20"/>
      <w:lang w:val="es-MX"/>
    </w:rPr>
  </w:style>
  <w:style w:type="paragraph" w:styleId="Encabezado">
    <w:name w:val="header"/>
    <w:basedOn w:val="Normal"/>
    <w:semiHidden/>
    <w:rsid w:val="00B75308"/>
    <w:pPr>
      <w:tabs>
        <w:tab w:val="center" w:pos="4419"/>
        <w:tab w:val="right" w:pos="8838"/>
      </w:tabs>
    </w:pPr>
  </w:style>
  <w:style w:type="paragraph" w:styleId="Piedepgina">
    <w:name w:val="footer"/>
    <w:basedOn w:val="Normal"/>
    <w:semiHidden/>
    <w:rsid w:val="00B75308"/>
    <w:pPr>
      <w:tabs>
        <w:tab w:val="center" w:pos="4419"/>
        <w:tab w:val="right" w:pos="8838"/>
      </w:tabs>
    </w:pPr>
  </w:style>
  <w:style w:type="paragraph" w:styleId="Textoindependiente3">
    <w:name w:val="Body Text 3"/>
    <w:basedOn w:val="Normal"/>
    <w:semiHidden/>
    <w:rsid w:val="00B75308"/>
    <w:pPr>
      <w:jc w:val="both"/>
    </w:pPr>
    <w:rPr>
      <w:rFonts w:ascii="Arial" w:hAnsi="Arial"/>
      <w:sz w:val="22"/>
    </w:rPr>
  </w:style>
  <w:style w:type="character" w:styleId="Nmerodepgina">
    <w:name w:val="page number"/>
    <w:basedOn w:val="Fuentedeprrafopredeter"/>
    <w:semiHidden/>
    <w:rsid w:val="00B75308"/>
  </w:style>
  <w:style w:type="paragraph" w:styleId="NormalWeb">
    <w:name w:val="Normal (Web)"/>
    <w:basedOn w:val="Normal"/>
    <w:semiHidden/>
    <w:rsid w:val="00B75308"/>
    <w:pPr>
      <w:spacing w:before="100" w:after="100"/>
    </w:pPr>
  </w:style>
  <w:style w:type="paragraph" w:styleId="Sangradetextonormal">
    <w:name w:val="Body Text Indent"/>
    <w:basedOn w:val="Normal"/>
    <w:semiHidden/>
    <w:rsid w:val="00B75308"/>
    <w:pPr>
      <w:ind w:left="1620"/>
      <w:jc w:val="both"/>
    </w:pPr>
    <w:rPr>
      <w:rFonts w:ascii="Tahoma" w:hAnsi="Tahoma"/>
      <w:sz w:val="22"/>
      <w:lang w:val="es-MX"/>
    </w:rPr>
  </w:style>
  <w:style w:type="paragraph" w:styleId="Textodeglobo">
    <w:name w:val="Balloon Text"/>
    <w:basedOn w:val="Normal"/>
    <w:semiHidden/>
    <w:rsid w:val="00B75308"/>
    <w:rPr>
      <w:rFonts w:ascii="Tahoma" w:hAnsi="Tahoma" w:cs="Tahoma"/>
      <w:sz w:val="16"/>
      <w:szCs w:val="16"/>
    </w:rPr>
  </w:style>
  <w:style w:type="character" w:styleId="Refdecomentario">
    <w:name w:val="annotation reference"/>
    <w:basedOn w:val="Fuentedeprrafopredeter"/>
    <w:semiHidden/>
    <w:rsid w:val="00B75308"/>
    <w:rPr>
      <w:sz w:val="16"/>
      <w:szCs w:val="16"/>
    </w:rPr>
  </w:style>
  <w:style w:type="paragraph" w:styleId="Textocomentario">
    <w:name w:val="annotation text"/>
    <w:basedOn w:val="Normal"/>
    <w:semiHidden/>
    <w:rsid w:val="00B75308"/>
    <w:rPr>
      <w:sz w:val="20"/>
      <w:szCs w:val="20"/>
    </w:rPr>
  </w:style>
  <w:style w:type="paragraph" w:styleId="Asuntodelcomentario">
    <w:name w:val="annotation subject"/>
    <w:basedOn w:val="Textocomentario"/>
    <w:next w:val="Textocomentario"/>
    <w:semiHidden/>
    <w:rsid w:val="00B75308"/>
    <w:rPr>
      <w:b/>
      <w:bCs/>
    </w:rPr>
  </w:style>
  <w:style w:type="paragraph" w:styleId="Sangra2detindependiente">
    <w:name w:val="Body Text Indent 2"/>
    <w:basedOn w:val="Normal"/>
    <w:semiHidden/>
    <w:rsid w:val="00B75308"/>
    <w:pPr>
      <w:spacing w:line="360" w:lineRule="auto"/>
      <w:ind w:firstLine="1440"/>
      <w:jc w:val="both"/>
    </w:pPr>
    <w:rPr>
      <w:rFonts w:ascii="Arial" w:hAnsi="Arial" w:cs="Arial"/>
      <w:sz w:val="28"/>
      <w:szCs w:val="28"/>
      <w:lang w:val="es-MX"/>
    </w:rPr>
  </w:style>
  <w:style w:type="paragraph" w:styleId="Sangra3detindependiente">
    <w:name w:val="Body Text Indent 3"/>
    <w:basedOn w:val="Normal"/>
    <w:semiHidden/>
    <w:rsid w:val="00B75308"/>
    <w:pPr>
      <w:spacing w:line="360" w:lineRule="auto"/>
      <w:ind w:left="900"/>
      <w:jc w:val="both"/>
    </w:pPr>
    <w:rPr>
      <w:rFonts w:ascii="Arial" w:hAnsi="Arial"/>
      <w:sz w:val="28"/>
    </w:rPr>
  </w:style>
  <w:style w:type="paragraph" w:customStyle="1" w:styleId="Texto">
    <w:name w:val="Texto"/>
    <w:basedOn w:val="Normal"/>
    <w:rsid w:val="00B13AB2"/>
    <w:pPr>
      <w:spacing w:after="101" w:line="216" w:lineRule="exact"/>
      <w:ind w:firstLine="288"/>
      <w:jc w:val="both"/>
    </w:pPr>
    <w:rPr>
      <w:rFonts w:ascii="Arial" w:hAnsi="Arial" w:cs="Arial"/>
      <w:sz w:val="18"/>
      <w:szCs w:val="20"/>
    </w:rPr>
  </w:style>
  <w:style w:type="paragraph" w:styleId="Textodebloque">
    <w:name w:val="Block Text"/>
    <w:basedOn w:val="Normal"/>
    <w:uiPriority w:val="99"/>
    <w:rsid w:val="00FD2BBE"/>
    <w:pPr>
      <w:spacing w:after="100" w:afterAutospacing="1"/>
      <w:ind w:left="284" w:right="215"/>
      <w:jc w:val="both"/>
    </w:pPr>
    <w:rPr>
      <w:rFonts w:ascii="Arial" w:eastAsia="MS Mincho" w:hAnsi="Arial"/>
    </w:rPr>
  </w:style>
  <w:style w:type="paragraph" w:styleId="Sinespaciado">
    <w:name w:val="No Spacing"/>
    <w:uiPriority w:val="1"/>
    <w:qFormat/>
    <w:rsid w:val="00221BB1"/>
    <w:rPr>
      <w:sz w:val="24"/>
      <w:szCs w:val="24"/>
    </w:rPr>
  </w:style>
  <w:style w:type="paragraph" w:styleId="Prrafodelista">
    <w:name w:val="List Paragraph"/>
    <w:basedOn w:val="Normal"/>
    <w:uiPriority w:val="34"/>
    <w:qFormat/>
    <w:rsid w:val="00F6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6739</Words>
  <Characters>36644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DESINCORPORACION DE BIENES</vt:lpstr>
    </vt:vector>
  </TitlesOfParts>
  <Company>Poder Judicial de la Federación</Company>
  <LinksUpToDate>false</LinksUpToDate>
  <CharactersWithSpaces>43297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DESINCORPORACION DE BIENES</dc:title>
  <dc:creator>Cecilia Juárez López</dc:creator>
  <cp:lastModifiedBy>Bárbara Leslie Valdez González</cp:lastModifiedBy>
  <cp:revision>4</cp:revision>
  <cp:lastPrinted>2014-11-21T20:52:00Z</cp:lastPrinted>
  <dcterms:created xsi:type="dcterms:W3CDTF">2015-01-05T19:19:00Z</dcterms:created>
  <dcterms:modified xsi:type="dcterms:W3CDTF">2015-01-09T01:51:00Z</dcterms:modified>
</cp:coreProperties>
</file>